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BAF1" w14:textId="77777777" w:rsidR="00505A03" w:rsidRPr="0046487C" w:rsidRDefault="00505A03" w:rsidP="00505A03">
      <w:pPr>
        <w:rPr>
          <w:rFonts w:ascii="Times New Roman" w:hAnsi="Times New Roman" w:cs="Times New Roman"/>
          <w:sz w:val="24"/>
        </w:rPr>
      </w:pPr>
      <w:r w:rsidRPr="0046487C">
        <w:rPr>
          <w:rFonts w:ascii="Times New Roman" w:hAnsi="Times New Roman" w:cs="Times New Roman"/>
          <w:sz w:val="24"/>
        </w:rPr>
        <w:t xml:space="preserve">TO: </w:t>
      </w:r>
      <w:r>
        <w:rPr>
          <w:rFonts w:ascii="Times New Roman" w:hAnsi="Times New Roman" w:cs="Times New Roman"/>
          <w:sz w:val="24"/>
        </w:rPr>
        <w:t>Commodity Futures Trading Commission</w:t>
      </w:r>
    </w:p>
    <w:p w14:paraId="7C5B5E3A" w14:textId="77777777" w:rsidR="00505A03" w:rsidRDefault="00505A03" w:rsidP="00505A03">
      <w:pPr>
        <w:rPr>
          <w:rFonts w:ascii="Times New Roman" w:hAnsi="Times New Roman" w:cs="Times New Roman"/>
          <w:sz w:val="24"/>
        </w:rPr>
      </w:pPr>
      <w:r w:rsidRPr="0046487C">
        <w:rPr>
          <w:rFonts w:ascii="Times New Roman" w:hAnsi="Times New Roman" w:cs="Times New Roman"/>
          <w:sz w:val="24"/>
        </w:rPr>
        <w:t>FROM: Stone Allen Washington; Research Fellow at the Competitive Enterprise Institute</w:t>
      </w:r>
    </w:p>
    <w:p w14:paraId="583ADD7E" w14:textId="77777777" w:rsidR="00505A03" w:rsidRDefault="00505A03" w:rsidP="00505A03">
      <w:pPr>
        <w:rPr>
          <w:rFonts w:ascii="Times New Roman" w:hAnsi="Times New Roman" w:cs="Times New Roman"/>
          <w:sz w:val="24"/>
        </w:rPr>
      </w:pPr>
    </w:p>
    <w:p w14:paraId="654FFF84" w14:textId="77777777" w:rsidR="00505A03" w:rsidRDefault="00505A03" w:rsidP="00505A03">
      <w:pPr>
        <w:rPr>
          <w:rFonts w:ascii="Times New Roman" w:hAnsi="Times New Roman" w:cs="Times New Roman"/>
          <w:sz w:val="24"/>
        </w:rPr>
      </w:pPr>
      <w:r>
        <w:rPr>
          <w:rFonts w:ascii="Times New Roman" w:hAnsi="Times New Roman" w:cs="Times New Roman"/>
          <w:sz w:val="24"/>
        </w:rPr>
        <w:t xml:space="preserve">RE: </w:t>
      </w:r>
      <w:r w:rsidRPr="00242C28">
        <w:rPr>
          <w:rFonts w:ascii="Times New Roman" w:hAnsi="Times New Roman" w:cs="Times New Roman"/>
          <w:sz w:val="24"/>
        </w:rPr>
        <w:t>88 FR 89410</w:t>
      </w:r>
    </w:p>
    <w:p w14:paraId="490A5580" w14:textId="77777777" w:rsidR="00505A03" w:rsidRDefault="00505A03" w:rsidP="00505A03">
      <w:pPr>
        <w:rPr>
          <w:rFonts w:ascii="Times New Roman" w:hAnsi="Times New Roman" w:cs="Times New Roman"/>
          <w:sz w:val="24"/>
        </w:rPr>
      </w:pPr>
    </w:p>
    <w:p w14:paraId="2C7EF494" w14:textId="77777777" w:rsidR="00505A03" w:rsidRDefault="00505A03" w:rsidP="00505A03">
      <w:pPr>
        <w:rPr>
          <w:rFonts w:ascii="Times New Roman" w:hAnsi="Times New Roman" w:cs="Times New Roman"/>
          <w:sz w:val="24"/>
        </w:rPr>
      </w:pPr>
      <w:r>
        <w:rPr>
          <w:rFonts w:ascii="Times New Roman" w:hAnsi="Times New Roman" w:cs="Times New Roman"/>
          <w:sz w:val="24"/>
        </w:rPr>
        <w:t xml:space="preserve">To the Honorable </w:t>
      </w:r>
      <w:proofErr w:type="spellStart"/>
      <w:r>
        <w:rPr>
          <w:rFonts w:ascii="Times New Roman" w:hAnsi="Times New Roman" w:cs="Times New Roman"/>
          <w:sz w:val="24"/>
        </w:rPr>
        <w:t>Rostin</w:t>
      </w:r>
      <w:proofErr w:type="spellEnd"/>
      <w:r>
        <w:rPr>
          <w:rFonts w:ascii="Times New Roman" w:hAnsi="Times New Roman" w:cs="Times New Roman"/>
          <w:sz w:val="24"/>
        </w:rPr>
        <w:t xml:space="preserve"> Behnam, Chairman of the Commodity Futures Trading Commission, and the Honorable Commissioners Kristen N. Johnson, Cristy Goldsmith Romero, Summer K. </w:t>
      </w:r>
      <w:proofErr w:type="spellStart"/>
      <w:r>
        <w:rPr>
          <w:rFonts w:ascii="Times New Roman" w:hAnsi="Times New Roman" w:cs="Times New Roman"/>
          <w:sz w:val="24"/>
        </w:rPr>
        <w:t>Mersinger</w:t>
      </w:r>
      <w:proofErr w:type="spellEnd"/>
      <w:r>
        <w:rPr>
          <w:rFonts w:ascii="Times New Roman" w:hAnsi="Times New Roman" w:cs="Times New Roman"/>
          <w:sz w:val="24"/>
        </w:rPr>
        <w:t>, Caroline D. Pham</w:t>
      </w:r>
    </w:p>
    <w:p w14:paraId="1D79ACE2" w14:textId="77777777" w:rsidR="00505A03" w:rsidRDefault="00505A03" w:rsidP="00505A03">
      <w:pPr>
        <w:rPr>
          <w:rFonts w:ascii="Times New Roman" w:hAnsi="Times New Roman" w:cs="Times New Roman"/>
          <w:sz w:val="24"/>
        </w:rPr>
      </w:pPr>
    </w:p>
    <w:p w14:paraId="5FEA08C8" w14:textId="2E7A16A4" w:rsidR="00505A03" w:rsidRDefault="00505A03" w:rsidP="00505A03">
      <w:pPr>
        <w:rPr>
          <w:rFonts w:ascii="Times New Roman" w:hAnsi="Times New Roman" w:cs="Times New Roman"/>
          <w:bCs/>
          <w:sz w:val="24"/>
        </w:rPr>
      </w:pPr>
      <w:r>
        <w:rPr>
          <w:rFonts w:ascii="Times New Roman" w:hAnsi="Times New Roman" w:cs="Times New Roman"/>
          <w:sz w:val="24"/>
        </w:rPr>
        <w:t xml:space="preserve">Thank you for the opportunity to provide comments regarding the Commission’s proposed guidance for listing </w:t>
      </w:r>
      <w:r w:rsidRPr="00242C28">
        <w:rPr>
          <w:rFonts w:ascii="Times New Roman" w:hAnsi="Times New Roman" w:cs="Times New Roman"/>
          <w:bCs/>
          <w:sz w:val="24"/>
        </w:rPr>
        <w:t xml:space="preserve">voluntary carbon credit </w:t>
      </w:r>
      <w:r>
        <w:rPr>
          <w:rFonts w:ascii="Times New Roman" w:hAnsi="Times New Roman" w:cs="Times New Roman"/>
          <w:bCs/>
          <w:sz w:val="24"/>
        </w:rPr>
        <w:t xml:space="preserve">(“VCC”) </w:t>
      </w:r>
      <w:r w:rsidRPr="00242C28">
        <w:rPr>
          <w:rFonts w:ascii="Times New Roman" w:hAnsi="Times New Roman" w:cs="Times New Roman"/>
          <w:bCs/>
          <w:sz w:val="24"/>
        </w:rPr>
        <w:t>derivative contracts</w:t>
      </w:r>
      <w:r>
        <w:rPr>
          <w:rFonts w:ascii="Times New Roman" w:hAnsi="Times New Roman" w:cs="Times New Roman"/>
          <w:bCs/>
          <w:sz w:val="24"/>
        </w:rPr>
        <w:t xml:space="preserve">. It would not be within the Commission’s best interest to impose </w:t>
      </w:r>
      <w:r w:rsidR="00F25171">
        <w:rPr>
          <w:rFonts w:ascii="Times New Roman" w:hAnsi="Times New Roman" w:cs="Times New Roman"/>
          <w:bCs/>
          <w:sz w:val="24"/>
        </w:rPr>
        <w:t>such regulatory parameters</w:t>
      </w:r>
      <w:r>
        <w:rPr>
          <w:rFonts w:ascii="Times New Roman" w:hAnsi="Times New Roman" w:cs="Times New Roman"/>
          <w:bCs/>
          <w:sz w:val="24"/>
        </w:rPr>
        <w:t xml:space="preserve"> on this voluntary market. The Commodity Futures Trading Commission (“CFTC” or “Commission”) is not statutorily authorized to set guidelines for the trade of carbon credits through direct contract markets (“DCMs”). This voluntary carbon market advances a form of environmental currency that does not represent any underlying commodity subject to the CFTC’s jurisdiction. Such a voluntary market </w:t>
      </w:r>
      <w:r w:rsidR="00105A5A">
        <w:rPr>
          <w:rFonts w:ascii="Times New Roman" w:hAnsi="Times New Roman" w:cs="Times New Roman"/>
          <w:bCs/>
          <w:sz w:val="24"/>
        </w:rPr>
        <w:t xml:space="preserve">simply was not </w:t>
      </w:r>
      <w:r>
        <w:rPr>
          <w:rFonts w:ascii="Times New Roman" w:hAnsi="Times New Roman" w:cs="Times New Roman"/>
          <w:bCs/>
          <w:sz w:val="24"/>
        </w:rPr>
        <w:t xml:space="preserve">designed to be regulated by </w:t>
      </w:r>
      <w:r w:rsidR="00105A5A">
        <w:rPr>
          <w:rFonts w:ascii="Times New Roman" w:hAnsi="Times New Roman" w:cs="Times New Roman"/>
          <w:bCs/>
          <w:sz w:val="24"/>
        </w:rPr>
        <w:t>a</w:t>
      </w:r>
      <w:r w:rsidR="0020068A">
        <w:rPr>
          <w:rFonts w:ascii="Times New Roman" w:hAnsi="Times New Roman" w:cs="Times New Roman"/>
          <w:bCs/>
          <w:sz w:val="24"/>
        </w:rPr>
        <w:t>ny</w:t>
      </w:r>
      <w:r w:rsidR="00105A5A">
        <w:rPr>
          <w:rFonts w:ascii="Times New Roman" w:hAnsi="Times New Roman" w:cs="Times New Roman"/>
          <w:bCs/>
          <w:sz w:val="24"/>
        </w:rPr>
        <w:t xml:space="preserve"> government body</w:t>
      </w:r>
      <w:r>
        <w:rPr>
          <w:rFonts w:ascii="Times New Roman" w:hAnsi="Times New Roman" w:cs="Times New Roman"/>
          <w:bCs/>
          <w:sz w:val="24"/>
        </w:rPr>
        <w:t xml:space="preserve">. </w:t>
      </w:r>
    </w:p>
    <w:p w14:paraId="305FC0B7" w14:textId="29CCE1EC" w:rsidR="00505A03" w:rsidRDefault="00505A03" w:rsidP="00505A03">
      <w:pPr>
        <w:rPr>
          <w:rFonts w:ascii="Times New Roman" w:hAnsi="Times New Roman" w:cs="Times New Roman"/>
          <w:bCs/>
          <w:sz w:val="24"/>
        </w:rPr>
      </w:pPr>
      <w:r>
        <w:rPr>
          <w:rFonts w:ascii="Times New Roman" w:hAnsi="Times New Roman" w:cs="Times New Roman"/>
          <w:bCs/>
          <w:sz w:val="24"/>
        </w:rPr>
        <w:t xml:space="preserve">The unregulated market for VCCs </w:t>
      </w:r>
      <w:r w:rsidR="00F25171">
        <w:rPr>
          <w:rFonts w:ascii="Times New Roman" w:hAnsi="Times New Roman" w:cs="Times New Roman"/>
          <w:bCs/>
          <w:sz w:val="24"/>
        </w:rPr>
        <w:t>is</w:t>
      </w:r>
      <w:r>
        <w:rPr>
          <w:rFonts w:ascii="Times New Roman" w:hAnsi="Times New Roman" w:cs="Times New Roman"/>
          <w:bCs/>
          <w:sz w:val="24"/>
        </w:rPr>
        <w:t xml:space="preserve"> distinct from mandatory cap-and-trade systems, as </w:t>
      </w:r>
      <w:r w:rsidR="00F25171">
        <w:rPr>
          <w:rFonts w:ascii="Times New Roman" w:hAnsi="Times New Roman" w:cs="Times New Roman"/>
          <w:bCs/>
          <w:sz w:val="24"/>
        </w:rPr>
        <w:t xml:space="preserve">only </w:t>
      </w:r>
      <w:r>
        <w:rPr>
          <w:rFonts w:ascii="Times New Roman" w:hAnsi="Times New Roman" w:cs="Times New Roman"/>
          <w:bCs/>
          <w:sz w:val="24"/>
        </w:rPr>
        <w:t>the latter is subject to government control. Market participants must be left to trade carbon credits without concern for triggering compliance standards that are inapplicable to a voluntary system. The CFTC risks overstepping its mission by seeking to legitimize an environmental decarbonization program attached to derivative contracts. The Commission should refrain from passing its proposed guidance by allowing this voluntary market system to remain separate from the regulatory responsibilities of the CFTC.</w:t>
      </w:r>
    </w:p>
    <w:p w14:paraId="64710113" w14:textId="77777777" w:rsidR="00505A03" w:rsidRDefault="00505A03" w:rsidP="00505A03">
      <w:pPr>
        <w:rPr>
          <w:rFonts w:ascii="Times New Roman" w:hAnsi="Times New Roman" w:cs="Times New Roman"/>
          <w:b/>
          <w:bCs/>
          <w:sz w:val="24"/>
        </w:rPr>
      </w:pPr>
      <w:r>
        <w:rPr>
          <w:rFonts w:ascii="Times New Roman" w:hAnsi="Times New Roman" w:cs="Times New Roman"/>
          <w:b/>
          <w:bCs/>
          <w:sz w:val="24"/>
        </w:rPr>
        <w:t>The Commission lacks the statutory authority to regulate carbon credits</w:t>
      </w:r>
    </w:p>
    <w:p w14:paraId="5E431283" w14:textId="2043B575" w:rsidR="00505A03" w:rsidRDefault="00505A03" w:rsidP="00505A03">
      <w:pPr>
        <w:rPr>
          <w:rFonts w:ascii="Times New Roman" w:hAnsi="Times New Roman" w:cs="Times New Roman"/>
          <w:bCs/>
          <w:sz w:val="24"/>
        </w:rPr>
      </w:pPr>
      <w:r>
        <w:rPr>
          <w:rFonts w:ascii="Times New Roman" w:hAnsi="Times New Roman" w:cs="Times New Roman"/>
          <w:bCs/>
          <w:sz w:val="24"/>
        </w:rPr>
        <w:t xml:space="preserve">Congress has not instructed the CFTC to introduce standards for trading voluntary carbon credits. There has yet to be any proposed legislation that authorizes the Commission to insert itself into a carbon offsetting program. Given this legislative silence, the Commission’s insertion into this voluntary market would be evidence of unwarranted </w:t>
      </w:r>
      <w:r w:rsidR="0020068A">
        <w:rPr>
          <w:rFonts w:ascii="Times New Roman" w:hAnsi="Times New Roman" w:cs="Times New Roman"/>
          <w:bCs/>
          <w:sz w:val="24"/>
        </w:rPr>
        <w:t xml:space="preserve">regulatory </w:t>
      </w:r>
      <w:r>
        <w:rPr>
          <w:rFonts w:ascii="Times New Roman" w:hAnsi="Times New Roman" w:cs="Times New Roman"/>
          <w:bCs/>
          <w:sz w:val="24"/>
        </w:rPr>
        <w:t>intervention.</w:t>
      </w:r>
      <w:r>
        <w:rPr>
          <w:rStyle w:val="FootnoteReference"/>
          <w:rFonts w:ascii="Times New Roman" w:hAnsi="Times New Roman" w:cs="Times New Roman"/>
          <w:bCs/>
          <w:sz w:val="24"/>
        </w:rPr>
        <w:footnoteReference w:id="1"/>
      </w:r>
      <w:r>
        <w:rPr>
          <w:rFonts w:ascii="Times New Roman" w:hAnsi="Times New Roman" w:cs="Times New Roman"/>
          <w:bCs/>
          <w:sz w:val="24"/>
        </w:rPr>
        <w:t xml:space="preserve"> This </w:t>
      </w:r>
      <w:r>
        <w:rPr>
          <w:rFonts w:ascii="Times New Roman" w:hAnsi="Times New Roman" w:cs="Times New Roman"/>
          <w:bCs/>
          <w:sz w:val="24"/>
        </w:rPr>
        <w:lastRenderedPageBreak/>
        <w:t>guidance seeks to legitimize the listing of VCC derivatives in the markets. By proposing this guidance, the CFTC is incentivizing investor participation in the purchase and s</w:t>
      </w:r>
      <w:r w:rsidR="00F25171">
        <w:rPr>
          <w:rFonts w:ascii="Times New Roman" w:hAnsi="Times New Roman" w:cs="Times New Roman"/>
          <w:bCs/>
          <w:sz w:val="24"/>
        </w:rPr>
        <w:t>ale</w:t>
      </w:r>
      <w:r>
        <w:rPr>
          <w:rFonts w:ascii="Times New Roman" w:hAnsi="Times New Roman" w:cs="Times New Roman"/>
          <w:bCs/>
          <w:sz w:val="24"/>
        </w:rPr>
        <w:t xml:space="preserve"> of carbon credits. The CFTC exceeds its statutory limitations when issuing a regulatory guidance on the listing and trade of carbon credit derivatives.</w:t>
      </w:r>
    </w:p>
    <w:p w14:paraId="4E2A18E9" w14:textId="1828FD50" w:rsidR="00505A03" w:rsidRDefault="00505A03" w:rsidP="00505A03">
      <w:pPr>
        <w:rPr>
          <w:rFonts w:ascii="Times New Roman" w:hAnsi="Times New Roman" w:cs="Times New Roman"/>
          <w:bCs/>
          <w:sz w:val="24"/>
        </w:rPr>
      </w:pPr>
      <w:r>
        <w:rPr>
          <w:rFonts w:ascii="Times New Roman" w:hAnsi="Times New Roman" w:cs="Times New Roman"/>
          <w:bCs/>
          <w:sz w:val="24"/>
        </w:rPr>
        <w:t xml:space="preserve">The Commission proposes this guidance as a means to ensure that pre-existing carbon credit derivatives are aligned with provisions of the </w:t>
      </w:r>
      <w:r w:rsidRPr="00332720">
        <w:rPr>
          <w:rFonts w:ascii="Times New Roman" w:hAnsi="Times New Roman" w:cs="Times New Roman"/>
          <w:bCs/>
          <w:sz w:val="24"/>
        </w:rPr>
        <w:t>Commodity Exchange Act (“CEA”)</w:t>
      </w:r>
      <w:r>
        <w:rPr>
          <w:rFonts w:ascii="Times New Roman" w:hAnsi="Times New Roman" w:cs="Times New Roman"/>
          <w:bCs/>
          <w:sz w:val="24"/>
        </w:rPr>
        <w:t>. The CEA provides no mention for the Commission to regulate environmental-based derivative contracts.</w:t>
      </w:r>
      <w:r>
        <w:rPr>
          <w:rStyle w:val="FootnoteReference"/>
          <w:rFonts w:ascii="Times New Roman" w:hAnsi="Times New Roman" w:cs="Times New Roman"/>
          <w:bCs/>
          <w:sz w:val="24"/>
        </w:rPr>
        <w:footnoteReference w:id="2"/>
      </w:r>
      <w:r>
        <w:rPr>
          <w:rFonts w:ascii="Times New Roman" w:hAnsi="Times New Roman" w:cs="Times New Roman"/>
          <w:bCs/>
          <w:sz w:val="24"/>
        </w:rPr>
        <w:t xml:space="preserve"> </w:t>
      </w:r>
      <w:r w:rsidR="00F25171">
        <w:rPr>
          <w:rFonts w:ascii="Times New Roman" w:hAnsi="Times New Roman" w:cs="Times New Roman"/>
          <w:bCs/>
          <w:sz w:val="24"/>
        </w:rPr>
        <w:t>Environmental VCC provisions</w:t>
      </w:r>
      <w:r>
        <w:rPr>
          <w:rFonts w:ascii="Times New Roman" w:hAnsi="Times New Roman" w:cs="Times New Roman"/>
          <w:bCs/>
          <w:sz w:val="24"/>
        </w:rPr>
        <w:t xml:space="preserve"> represent decisions by the consenting company to voluntarily decarbonize a segment of its operations</w:t>
      </w:r>
      <w:r w:rsidR="00F25171">
        <w:rPr>
          <w:rFonts w:ascii="Times New Roman" w:hAnsi="Times New Roman" w:cs="Times New Roman"/>
          <w:bCs/>
          <w:sz w:val="24"/>
        </w:rPr>
        <w:t xml:space="preserve"> to mitigate climate change</w:t>
      </w:r>
      <w:r>
        <w:rPr>
          <w:rFonts w:ascii="Times New Roman" w:hAnsi="Times New Roman" w:cs="Times New Roman"/>
          <w:bCs/>
          <w:sz w:val="24"/>
        </w:rPr>
        <w:t xml:space="preserve">. It is not for the CFTC to advance standards that facilitate an organization’s listing or procurement of these credits. Establishing such standards tips the scale </w:t>
      </w:r>
      <w:r w:rsidR="0020068A">
        <w:rPr>
          <w:rFonts w:ascii="Times New Roman" w:hAnsi="Times New Roman" w:cs="Times New Roman"/>
          <w:bCs/>
          <w:sz w:val="24"/>
        </w:rPr>
        <w:t>for investors to display interest in a</w:t>
      </w:r>
      <w:r>
        <w:rPr>
          <w:rFonts w:ascii="Times New Roman" w:hAnsi="Times New Roman" w:cs="Times New Roman"/>
          <w:bCs/>
          <w:sz w:val="24"/>
        </w:rPr>
        <w:t xml:space="preserve"> voluntary system that the Commission is not authorized to regulate</w:t>
      </w:r>
      <w:r w:rsidR="00F25171">
        <w:rPr>
          <w:rFonts w:ascii="Times New Roman" w:hAnsi="Times New Roman" w:cs="Times New Roman"/>
          <w:bCs/>
          <w:sz w:val="24"/>
        </w:rPr>
        <w:t xml:space="preserve"> in any way</w:t>
      </w:r>
      <w:r>
        <w:rPr>
          <w:rFonts w:ascii="Times New Roman" w:hAnsi="Times New Roman" w:cs="Times New Roman"/>
          <w:bCs/>
          <w:sz w:val="24"/>
        </w:rPr>
        <w:t xml:space="preserve">. </w:t>
      </w:r>
    </w:p>
    <w:p w14:paraId="400A7D02" w14:textId="5C11BB87" w:rsidR="00505A03" w:rsidRDefault="00505A03" w:rsidP="00505A03">
      <w:pPr>
        <w:rPr>
          <w:rFonts w:ascii="Times New Roman" w:hAnsi="Times New Roman" w:cs="Times New Roman"/>
          <w:bCs/>
          <w:sz w:val="24"/>
        </w:rPr>
      </w:pPr>
      <w:r>
        <w:rPr>
          <w:rFonts w:ascii="Times New Roman" w:hAnsi="Times New Roman" w:cs="Times New Roman"/>
          <w:bCs/>
          <w:sz w:val="24"/>
        </w:rPr>
        <w:t xml:space="preserve">If Congress felt it appropriate to instruct the CFTC to guide such voluntary transactions, there would be existing legislation to accommodate this. Absent any legislative instruction, the Commission seeks to use its regulatory authority to validate a voluntary market that exists solely between private parties and not the agency itself. </w:t>
      </w:r>
      <w:r w:rsidR="00105A5A">
        <w:rPr>
          <w:rFonts w:ascii="Times New Roman" w:hAnsi="Times New Roman" w:cs="Times New Roman"/>
          <w:bCs/>
          <w:sz w:val="24"/>
        </w:rPr>
        <w:t>This legislative silence regarding</w:t>
      </w:r>
      <w:r>
        <w:rPr>
          <w:rFonts w:ascii="Times New Roman" w:hAnsi="Times New Roman" w:cs="Times New Roman"/>
          <w:bCs/>
          <w:sz w:val="24"/>
        </w:rPr>
        <w:t xml:space="preserve"> carbon credit derivatives </w:t>
      </w:r>
      <w:r w:rsidR="00105A5A">
        <w:rPr>
          <w:rFonts w:ascii="Times New Roman" w:hAnsi="Times New Roman" w:cs="Times New Roman"/>
          <w:bCs/>
          <w:sz w:val="24"/>
        </w:rPr>
        <w:t xml:space="preserve">may in-part be explained by how such </w:t>
      </w:r>
      <w:r w:rsidR="0020068A">
        <w:rPr>
          <w:rFonts w:ascii="Times New Roman" w:hAnsi="Times New Roman" w:cs="Times New Roman"/>
          <w:bCs/>
          <w:sz w:val="24"/>
        </w:rPr>
        <w:t xml:space="preserve">carbon-based </w:t>
      </w:r>
      <w:r w:rsidR="00105A5A">
        <w:rPr>
          <w:rFonts w:ascii="Times New Roman" w:hAnsi="Times New Roman" w:cs="Times New Roman"/>
          <w:bCs/>
          <w:sz w:val="24"/>
        </w:rPr>
        <w:t>mechanism</w:t>
      </w:r>
      <w:r w:rsidR="00306533">
        <w:rPr>
          <w:rFonts w:ascii="Times New Roman" w:hAnsi="Times New Roman" w:cs="Times New Roman"/>
          <w:bCs/>
          <w:sz w:val="24"/>
        </w:rPr>
        <w:t>s</w:t>
      </w:r>
      <w:r>
        <w:rPr>
          <w:rFonts w:ascii="Times New Roman" w:hAnsi="Times New Roman" w:cs="Times New Roman"/>
          <w:bCs/>
          <w:sz w:val="24"/>
        </w:rPr>
        <w:t xml:space="preserve"> fail to align with the basic requirements of a derivative contract. Carbon credits derive market value exclusively from environmental protection efforts, such as decarbonization</w:t>
      </w:r>
      <w:r w:rsidR="00F25171">
        <w:rPr>
          <w:rFonts w:ascii="Times New Roman" w:hAnsi="Times New Roman" w:cs="Times New Roman"/>
          <w:bCs/>
          <w:sz w:val="24"/>
        </w:rPr>
        <w:t xml:space="preserve"> or</w:t>
      </w:r>
      <w:r w:rsidR="008C5D49">
        <w:rPr>
          <w:rFonts w:ascii="Times New Roman" w:hAnsi="Times New Roman" w:cs="Times New Roman"/>
          <w:bCs/>
          <w:sz w:val="24"/>
        </w:rPr>
        <w:t xml:space="preserve"> greenhouse gas (“GHG”) reduction</w:t>
      </w:r>
      <w:r>
        <w:rPr>
          <w:rFonts w:ascii="Times New Roman" w:hAnsi="Times New Roman" w:cs="Times New Roman"/>
          <w:bCs/>
          <w:sz w:val="24"/>
        </w:rPr>
        <w:t xml:space="preserve">. They do not provide any </w:t>
      </w:r>
      <w:r w:rsidR="008C5D49">
        <w:rPr>
          <w:rFonts w:ascii="Times New Roman" w:hAnsi="Times New Roman" w:cs="Times New Roman"/>
          <w:bCs/>
          <w:sz w:val="24"/>
        </w:rPr>
        <w:t xml:space="preserve">real market </w:t>
      </w:r>
      <w:r>
        <w:rPr>
          <w:rFonts w:ascii="Times New Roman" w:hAnsi="Times New Roman" w:cs="Times New Roman"/>
          <w:bCs/>
          <w:sz w:val="24"/>
        </w:rPr>
        <w:t>value to the underlying assets that the derivative contract represents. As such, nonfinancial carbon credits do not qualify as actual derivatives when looking to the true definition,</w:t>
      </w:r>
      <w:r>
        <w:rPr>
          <w:rStyle w:val="FootnoteReference"/>
          <w:rFonts w:ascii="Times New Roman" w:hAnsi="Times New Roman" w:cs="Times New Roman"/>
          <w:bCs/>
          <w:sz w:val="24"/>
        </w:rPr>
        <w:footnoteReference w:id="3"/>
      </w:r>
      <w:r>
        <w:rPr>
          <w:rFonts w:ascii="Times New Roman" w:hAnsi="Times New Roman" w:cs="Times New Roman"/>
          <w:bCs/>
          <w:sz w:val="24"/>
        </w:rPr>
        <w:t xml:space="preserve"> since their inherent value is untethered to </w:t>
      </w:r>
      <w:r w:rsidR="008C5D49">
        <w:rPr>
          <w:rFonts w:ascii="Times New Roman" w:hAnsi="Times New Roman" w:cs="Times New Roman"/>
          <w:bCs/>
          <w:sz w:val="24"/>
        </w:rPr>
        <w:t xml:space="preserve">any form of </w:t>
      </w:r>
      <w:r>
        <w:rPr>
          <w:rFonts w:ascii="Times New Roman" w:hAnsi="Times New Roman" w:cs="Times New Roman"/>
          <w:bCs/>
          <w:sz w:val="24"/>
        </w:rPr>
        <w:t xml:space="preserve">financial performance. The Commission also violates </w:t>
      </w:r>
      <w:r w:rsidR="008C5D49">
        <w:rPr>
          <w:rFonts w:ascii="Times New Roman" w:hAnsi="Times New Roman" w:cs="Times New Roman"/>
          <w:bCs/>
          <w:sz w:val="24"/>
        </w:rPr>
        <w:t>the CEA by</w:t>
      </w:r>
      <w:r>
        <w:rPr>
          <w:rFonts w:ascii="Times New Roman" w:hAnsi="Times New Roman" w:cs="Times New Roman"/>
          <w:bCs/>
          <w:sz w:val="24"/>
        </w:rPr>
        <w:t xml:space="preserve"> recognizing VCCs as the underlying assets represented by such derivatives. This is because agricultural commodities as recognized under law does not encompass intangible carbon credits or the reduced </w:t>
      </w:r>
      <w:r w:rsidR="00367D82">
        <w:rPr>
          <w:rFonts w:ascii="Times New Roman" w:hAnsi="Times New Roman" w:cs="Times New Roman"/>
          <w:bCs/>
          <w:sz w:val="24"/>
        </w:rPr>
        <w:t>GHG</w:t>
      </w:r>
      <w:r>
        <w:rPr>
          <w:rFonts w:ascii="Times New Roman" w:hAnsi="Times New Roman" w:cs="Times New Roman"/>
          <w:bCs/>
          <w:sz w:val="24"/>
        </w:rPr>
        <w:t xml:space="preserve"> emissions they represent.</w:t>
      </w:r>
      <w:r>
        <w:rPr>
          <w:rStyle w:val="FootnoteReference"/>
          <w:rFonts w:ascii="Times New Roman" w:hAnsi="Times New Roman" w:cs="Times New Roman"/>
          <w:bCs/>
          <w:sz w:val="24"/>
        </w:rPr>
        <w:footnoteReference w:id="4"/>
      </w:r>
    </w:p>
    <w:p w14:paraId="6D6A91D0" w14:textId="77777777" w:rsidR="00505A03" w:rsidRDefault="00505A03" w:rsidP="00505A03">
      <w:pPr>
        <w:rPr>
          <w:rFonts w:ascii="Times New Roman" w:hAnsi="Times New Roman" w:cs="Times New Roman"/>
          <w:b/>
          <w:bCs/>
          <w:sz w:val="24"/>
        </w:rPr>
      </w:pPr>
      <w:r>
        <w:rPr>
          <w:rFonts w:ascii="Times New Roman" w:hAnsi="Times New Roman" w:cs="Times New Roman"/>
          <w:b/>
          <w:bCs/>
          <w:sz w:val="24"/>
        </w:rPr>
        <w:t>The CFTC does not exist to “support decarbonization”</w:t>
      </w:r>
    </w:p>
    <w:p w14:paraId="272005E2" w14:textId="6373C90D" w:rsidR="00FF7D98" w:rsidRDefault="00505A03" w:rsidP="00505A03">
      <w:pPr>
        <w:rPr>
          <w:rFonts w:ascii="Times New Roman" w:hAnsi="Times New Roman" w:cs="Times New Roman"/>
          <w:bCs/>
          <w:sz w:val="24"/>
        </w:rPr>
      </w:pPr>
      <w:r>
        <w:rPr>
          <w:rFonts w:ascii="Times New Roman" w:hAnsi="Times New Roman" w:cs="Times New Roman"/>
          <w:bCs/>
          <w:sz w:val="24"/>
        </w:rPr>
        <w:lastRenderedPageBreak/>
        <w:t>The Commission exceeds its mission statement by promoting investments toward decarbonization.</w:t>
      </w:r>
      <w:r w:rsidR="00564421">
        <w:rPr>
          <w:rFonts w:ascii="Times New Roman" w:hAnsi="Times New Roman" w:cs="Times New Roman"/>
          <w:bCs/>
          <w:sz w:val="24"/>
        </w:rPr>
        <w:t xml:space="preserve"> </w:t>
      </w:r>
      <w:r>
        <w:rPr>
          <w:rFonts w:ascii="Times New Roman" w:hAnsi="Times New Roman" w:cs="Times New Roman"/>
          <w:bCs/>
          <w:sz w:val="24"/>
        </w:rPr>
        <w:t>The CFTC exists to</w:t>
      </w:r>
      <w:r w:rsidRPr="00361659">
        <w:rPr>
          <w:rFonts w:ascii="Times New Roman" w:hAnsi="Times New Roman" w:cs="Times New Roman"/>
          <w:bCs/>
          <w:sz w:val="24"/>
        </w:rPr>
        <w:t> </w:t>
      </w:r>
      <w:r>
        <w:rPr>
          <w:rFonts w:ascii="Times New Roman" w:hAnsi="Times New Roman" w:cs="Times New Roman"/>
          <w:bCs/>
          <w:sz w:val="24"/>
        </w:rPr>
        <w:t>“</w:t>
      </w:r>
      <w:r w:rsidRPr="00361659">
        <w:rPr>
          <w:rFonts w:ascii="Times New Roman" w:hAnsi="Times New Roman" w:cs="Times New Roman"/>
          <w:bCs/>
          <w:sz w:val="24"/>
        </w:rPr>
        <w:t>promote the integrity, resilience, and vibrancy of the U.S. derivatives markets through sound regulation</w:t>
      </w:r>
      <w:r w:rsidR="008C5D49">
        <w:rPr>
          <w:rFonts w:ascii="Times New Roman" w:hAnsi="Times New Roman" w:cs="Times New Roman"/>
          <w:bCs/>
          <w:sz w:val="24"/>
        </w:rPr>
        <w:t>.</w:t>
      </w:r>
      <w:r>
        <w:rPr>
          <w:rFonts w:ascii="Times New Roman" w:hAnsi="Times New Roman" w:cs="Times New Roman"/>
          <w:bCs/>
          <w:sz w:val="24"/>
        </w:rPr>
        <w:t>”</w:t>
      </w:r>
      <w:r>
        <w:rPr>
          <w:rStyle w:val="FootnoteReference"/>
          <w:rFonts w:ascii="Times New Roman" w:hAnsi="Times New Roman" w:cs="Times New Roman"/>
          <w:bCs/>
          <w:sz w:val="24"/>
        </w:rPr>
        <w:footnoteReference w:id="5"/>
      </w:r>
      <w:r>
        <w:rPr>
          <w:rFonts w:ascii="Times New Roman" w:hAnsi="Times New Roman" w:cs="Times New Roman"/>
          <w:bCs/>
          <w:sz w:val="24"/>
        </w:rPr>
        <w:t xml:space="preserve"> This does not enable the Commission to endorse a </w:t>
      </w:r>
      <w:r w:rsidR="008C5D49">
        <w:rPr>
          <w:rFonts w:ascii="Times New Roman" w:hAnsi="Times New Roman" w:cs="Times New Roman"/>
          <w:bCs/>
          <w:sz w:val="24"/>
        </w:rPr>
        <w:t xml:space="preserve">separate </w:t>
      </w:r>
      <w:r>
        <w:rPr>
          <w:rFonts w:ascii="Times New Roman" w:hAnsi="Times New Roman" w:cs="Times New Roman"/>
          <w:bCs/>
          <w:sz w:val="24"/>
        </w:rPr>
        <w:t>carbon credit system attached to certain derivative</w:t>
      </w:r>
      <w:r w:rsidR="008C5D49">
        <w:rPr>
          <w:rFonts w:ascii="Times New Roman" w:hAnsi="Times New Roman" w:cs="Times New Roman"/>
          <w:bCs/>
          <w:sz w:val="24"/>
        </w:rPr>
        <w:t xml:space="preserve"> contracts</w:t>
      </w:r>
      <w:r>
        <w:rPr>
          <w:rFonts w:ascii="Times New Roman" w:hAnsi="Times New Roman" w:cs="Times New Roman"/>
          <w:bCs/>
          <w:sz w:val="24"/>
        </w:rPr>
        <w:t>.</w:t>
      </w:r>
      <w:r w:rsidR="00564421">
        <w:rPr>
          <w:rFonts w:ascii="Times New Roman" w:hAnsi="Times New Roman" w:cs="Times New Roman"/>
          <w:bCs/>
          <w:sz w:val="24"/>
        </w:rPr>
        <w:t xml:space="preserve"> </w:t>
      </w:r>
      <w:r w:rsidR="00564421">
        <w:rPr>
          <w:rFonts w:ascii="Times New Roman" w:hAnsi="Times New Roman" w:cs="Times New Roman"/>
          <w:bCs/>
          <w:sz w:val="24"/>
        </w:rPr>
        <w:t xml:space="preserve">There is nothing in </w:t>
      </w:r>
      <w:r w:rsidR="00367D82">
        <w:rPr>
          <w:rFonts w:ascii="Times New Roman" w:hAnsi="Times New Roman" w:cs="Times New Roman"/>
          <w:bCs/>
          <w:sz w:val="24"/>
        </w:rPr>
        <w:t>the CFTC’s</w:t>
      </w:r>
      <w:r w:rsidR="00564421">
        <w:rPr>
          <w:rFonts w:ascii="Times New Roman" w:hAnsi="Times New Roman" w:cs="Times New Roman"/>
          <w:bCs/>
          <w:sz w:val="24"/>
        </w:rPr>
        <w:t xml:space="preserve"> mission statement or the CEA that deputizes the agency to mitigate climate change.</w:t>
      </w:r>
      <w:r w:rsidR="00564421">
        <w:rPr>
          <w:rStyle w:val="FootnoteReference"/>
          <w:rFonts w:ascii="Times New Roman" w:hAnsi="Times New Roman" w:cs="Times New Roman"/>
          <w:bCs/>
          <w:sz w:val="24"/>
        </w:rPr>
        <w:footnoteReference w:id="6"/>
      </w:r>
      <w:r>
        <w:rPr>
          <w:rFonts w:ascii="Times New Roman" w:hAnsi="Times New Roman" w:cs="Times New Roman"/>
          <w:bCs/>
          <w:sz w:val="24"/>
        </w:rPr>
        <w:t xml:space="preserve"> This guidance violates the Commission’s neutrality as a regulator because it openly endorses an extraneous aspect of derivatives that the agency is not authorized to </w:t>
      </w:r>
      <w:r w:rsidRPr="00F76336">
        <w:rPr>
          <w:rFonts w:ascii="Times New Roman" w:hAnsi="Times New Roman" w:cs="Times New Roman"/>
          <w:bCs/>
          <w:sz w:val="24"/>
        </w:rPr>
        <w:t>support.</w:t>
      </w:r>
      <w:r>
        <w:rPr>
          <w:rFonts w:ascii="Times New Roman" w:hAnsi="Times New Roman" w:cs="Times New Roman"/>
          <w:bCs/>
          <w:sz w:val="24"/>
        </w:rPr>
        <w:t xml:space="preserve"> </w:t>
      </w:r>
    </w:p>
    <w:p w14:paraId="0DBF7F39" w14:textId="00642A2D" w:rsidR="009B4653" w:rsidRDefault="00505A03" w:rsidP="00505A03">
      <w:pPr>
        <w:rPr>
          <w:rFonts w:ascii="Times New Roman" w:hAnsi="Times New Roman" w:cs="Times New Roman"/>
          <w:bCs/>
          <w:sz w:val="24"/>
        </w:rPr>
      </w:pPr>
      <w:r>
        <w:rPr>
          <w:rFonts w:ascii="Times New Roman" w:hAnsi="Times New Roman" w:cs="Times New Roman"/>
          <w:bCs/>
          <w:sz w:val="24"/>
        </w:rPr>
        <w:t xml:space="preserve">It is not for the CFTC “to </w:t>
      </w:r>
      <w:r w:rsidRPr="00F76336">
        <w:rPr>
          <w:rFonts w:ascii="Times New Roman" w:hAnsi="Times New Roman" w:cs="Times New Roman"/>
          <w:bCs/>
          <w:sz w:val="24"/>
        </w:rPr>
        <w:t>help channel capital to support decarbonization</w:t>
      </w:r>
      <w:r>
        <w:rPr>
          <w:rFonts w:ascii="Times New Roman" w:hAnsi="Times New Roman" w:cs="Times New Roman"/>
          <w:bCs/>
          <w:sz w:val="24"/>
        </w:rPr>
        <w:t>”</w:t>
      </w:r>
      <w:r>
        <w:rPr>
          <w:rStyle w:val="FootnoteReference"/>
          <w:rFonts w:ascii="Times New Roman" w:hAnsi="Times New Roman" w:cs="Times New Roman"/>
          <w:bCs/>
          <w:sz w:val="24"/>
        </w:rPr>
        <w:footnoteReference w:id="7"/>
      </w:r>
      <w:r>
        <w:rPr>
          <w:rFonts w:ascii="Times New Roman" w:hAnsi="Times New Roman" w:cs="Times New Roman"/>
          <w:bCs/>
          <w:sz w:val="24"/>
        </w:rPr>
        <w:t xml:space="preserve"> by endorsing investor participation in this voluntary carbon credit market.</w:t>
      </w:r>
      <w:r w:rsidR="00FF7D98">
        <w:rPr>
          <w:rFonts w:ascii="Times New Roman" w:hAnsi="Times New Roman" w:cs="Times New Roman"/>
          <w:bCs/>
          <w:sz w:val="24"/>
        </w:rPr>
        <w:t xml:space="preserve"> Nor is it for an independent agency</w:t>
      </w:r>
      <w:r w:rsidR="00367D82">
        <w:rPr>
          <w:rFonts w:ascii="Times New Roman" w:hAnsi="Times New Roman" w:cs="Times New Roman"/>
          <w:bCs/>
          <w:sz w:val="24"/>
        </w:rPr>
        <w:t xml:space="preserve">, </w:t>
      </w:r>
      <w:r w:rsidR="00FF7D98">
        <w:rPr>
          <w:rFonts w:ascii="Times New Roman" w:hAnsi="Times New Roman" w:cs="Times New Roman"/>
          <w:bCs/>
          <w:sz w:val="24"/>
        </w:rPr>
        <w:t>like the CFTC, to advance “</w:t>
      </w:r>
      <w:r w:rsidR="00FF7D98" w:rsidRPr="00FF7D98">
        <w:rPr>
          <w:rFonts w:ascii="Times New Roman" w:hAnsi="Times New Roman" w:cs="Times New Roman"/>
          <w:bCs/>
          <w:sz w:val="24"/>
        </w:rPr>
        <w:t>a whole-of-government approach</w:t>
      </w:r>
      <w:r w:rsidR="00FF7D98">
        <w:rPr>
          <w:rFonts w:ascii="Times New Roman" w:hAnsi="Times New Roman" w:cs="Times New Roman"/>
          <w:bCs/>
          <w:sz w:val="24"/>
        </w:rPr>
        <w:t>”</w:t>
      </w:r>
      <w:r w:rsidR="00FF7D98">
        <w:rPr>
          <w:rStyle w:val="FootnoteReference"/>
          <w:rFonts w:ascii="Times New Roman" w:hAnsi="Times New Roman" w:cs="Times New Roman"/>
          <w:bCs/>
          <w:sz w:val="24"/>
        </w:rPr>
        <w:footnoteReference w:id="8"/>
      </w:r>
      <w:r w:rsidR="00FF7D98">
        <w:rPr>
          <w:rFonts w:ascii="Times New Roman" w:hAnsi="Times New Roman" w:cs="Times New Roman"/>
          <w:bCs/>
          <w:sz w:val="24"/>
        </w:rPr>
        <w:t xml:space="preserve"> in league with executive branch departments.</w:t>
      </w:r>
      <w:r>
        <w:rPr>
          <w:rFonts w:ascii="Times New Roman" w:hAnsi="Times New Roman" w:cs="Times New Roman"/>
          <w:bCs/>
          <w:sz w:val="24"/>
        </w:rPr>
        <w:t xml:space="preserve"> Such a </w:t>
      </w:r>
      <w:r w:rsidR="00987C65">
        <w:rPr>
          <w:rFonts w:ascii="Times New Roman" w:hAnsi="Times New Roman" w:cs="Times New Roman"/>
          <w:bCs/>
          <w:sz w:val="24"/>
        </w:rPr>
        <w:t>politically driven</w:t>
      </w:r>
      <w:r>
        <w:rPr>
          <w:rFonts w:ascii="Times New Roman" w:hAnsi="Times New Roman" w:cs="Times New Roman"/>
          <w:bCs/>
          <w:sz w:val="24"/>
        </w:rPr>
        <w:t xml:space="preserve"> initiative has never been proposed before </w:t>
      </w:r>
      <w:r w:rsidR="008C5D49">
        <w:rPr>
          <w:rFonts w:ascii="Times New Roman" w:hAnsi="Times New Roman" w:cs="Times New Roman"/>
          <w:bCs/>
          <w:sz w:val="24"/>
        </w:rPr>
        <w:t>in the CFTC’s 88-year history, and the</w:t>
      </w:r>
      <w:r>
        <w:rPr>
          <w:rFonts w:ascii="Times New Roman" w:hAnsi="Times New Roman" w:cs="Times New Roman"/>
          <w:bCs/>
          <w:sz w:val="24"/>
        </w:rPr>
        <w:t xml:space="preserve"> agency cannot </w:t>
      </w:r>
      <w:r w:rsidR="008C5D49">
        <w:rPr>
          <w:rFonts w:ascii="Times New Roman" w:hAnsi="Times New Roman" w:cs="Times New Roman"/>
          <w:bCs/>
          <w:sz w:val="24"/>
        </w:rPr>
        <w:t xml:space="preserve">suddenly </w:t>
      </w:r>
      <w:r>
        <w:rPr>
          <w:rFonts w:ascii="Times New Roman" w:hAnsi="Times New Roman" w:cs="Times New Roman"/>
          <w:bCs/>
          <w:sz w:val="24"/>
        </w:rPr>
        <w:t xml:space="preserve">advance a climate change reduction agenda by setting these standards. This defeats the entire purpose of the investor class establishing a voluntary market in the first place. </w:t>
      </w:r>
      <w:r w:rsidR="00987C65">
        <w:rPr>
          <w:rFonts w:ascii="Times New Roman" w:hAnsi="Times New Roman" w:cs="Times New Roman"/>
          <w:bCs/>
          <w:sz w:val="24"/>
        </w:rPr>
        <w:t>And research shows that among financial regulators in the U.S., the CFTC is the least likely to ever encounter climate-related financial risks on its exchanges.</w:t>
      </w:r>
      <w:r w:rsidR="00987C65">
        <w:rPr>
          <w:rStyle w:val="FootnoteReference"/>
          <w:rFonts w:ascii="Times New Roman" w:hAnsi="Times New Roman" w:cs="Times New Roman"/>
          <w:bCs/>
          <w:sz w:val="24"/>
        </w:rPr>
        <w:footnoteReference w:id="9"/>
      </w:r>
      <w:r w:rsidR="00987C65">
        <w:rPr>
          <w:rFonts w:ascii="Times New Roman" w:hAnsi="Times New Roman" w:cs="Times New Roman"/>
          <w:bCs/>
          <w:sz w:val="24"/>
        </w:rPr>
        <w:t xml:space="preserve"> This undermines </w:t>
      </w:r>
      <w:r w:rsidR="00367D82">
        <w:rPr>
          <w:rFonts w:ascii="Times New Roman" w:hAnsi="Times New Roman" w:cs="Times New Roman"/>
          <w:bCs/>
          <w:sz w:val="24"/>
        </w:rPr>
        <w:t xml:space="preserve">the justification for the </w:t>
      </w:r>
      <w:r w:rsidR="00987C65">
        <w:rPr>
          <w:rFonts w:ascii="Times New Roman" w:hAnsi="Times New Roman" w:cs="Times New Roman"/>
          <w:bCs/>
          <w:sz w:val="24"/>
        </w:rPr>
        <w:t>Commission’s</w:t>
      </w:r>
      <w:r w:rsidR="00367D82">
        <w:rPr>
          <w:rFonts w:ascii="Times New Roman" w:hAnsi="Times New Roman" w:cs="Times New Roman"/>
          <w:bCs/>
          <w:sz w:val="24"/>
        </w:rPr>
        <w:t xml:space="preserve"> </w:t>
      </w:r>
      <w:r w:rsidR="00987C65">
        <w:rPr>
          <w:rFonts w:ascii="Times New Roman" w:hAnsi="Times New Roman" w:cs="Times New Roman"/>
          <w:bCs/>
          <w:sz w:val="24"/>
        </w:rPr>
        <w:t>Climate Risk Unit</w:t>
      </w:r>
      <w:r w:rsidR="00A25B08">
        <w:rPr>
          <w:rFonts w:ascii="Times New Roman" w:hAnsi="Times New Roman" w:cs="Times New Roman"/>
          <w:bCs/>
          <w:sz w:val="24"/>
        </w:rPr>
        <w:t xml:space="preserve"> and its </w:t>
      </w:r>
      <w:r w:rsidR="00A25B08" w:rsidRPr="00A25B08">
        <w:rPr>
          <w:rFonts w:ascii="Times New Roman" w:hAnsi="Times New Roman" w:cs="Times New Roman"/>
          <w:bCs/>
          <w:sz w:val="24"/>
        </w:rPr>
        <w:t>Market Risk Advisory Committee's Climate-Related Market Risk Subcommittee</w:t>
      </w:r>
      <w:r w:rsidR="00A25B08">
        <w:rPr>
          <w:rFonts w:ascii="Times New Roman" w:hAnsi="Times New Roman" w:cs="Times New Roman"/>
          <w:bCs/>
          <w:sz w:val="24"/>
        </w:rPr>
        <w:t>,</w:t>
      </w:r>
      <w:r w:rsidR="00982BF3">
        <w:rPr>
          <w:rFonts w:ascii="Times New Roman" w:hAnsi="Times New Roman" w:cs="Times New Roman"/>
          <w:bCs/>
          <w:sz w:val="24"/>
        </w:rPr>
        <w:t xml:space="preserve"> as climate-related financial risks pose no serious threat to the trade of derivatives. </w:t>
      </w:r>
      <w:r w:rsidR="00987C65">
        <w:rPr>
          <w:rFonts w:ascii="Times New Roman" w:hAnsi="Times New Roman" w:cs="Times New Roman"/>
          <w:bCs/>
          <w:sz w:val="24"/>
        </w:rPr>
        <w:t xml:space="preserve"> </w:t>
      </w:r>
    </w:p>
    <w:p w14:paraId="2C68BB78" w14:textId="33F21379" w:rsidR="00505A03" w:rsidRDefault="00505A03" w:rsidP="00505A03">
      <w:pPr>
        <w:rPr>
          <w:rFonts w:ascii="Times New Roman" w:hAnsi="Times New Roman" w:cs="Times New Roman"/>
          <w:bCs/>
          <w:sz w:val="24"/>
        </w:rPr>
      </w:pPr>
      <w:r>
        <w:rPr>
          <w:rFonts w:ascii="Times New Roman" w:hAnsi="Times New Roman" w:cs="Times New Roman"/>
          <w:bCs/>
          <w:sz w:val="24"/>
        </w:rPr>
        <w:t>The CFTC already regulates the listing and exchange of traditional derivative contracts. Extending listing standards to recognize environmental conditions and credits attached to such contracts is unnecessary</w:t>
      </w:r>
      <w:r w:rsidR="008C5D49">
        <w:rPr>
          <w:rFonts w:ascii="Times New Roman" w:hAnsi="Times New Roman" w:cs="Times New Roman"/>
          <w:bCs/>
          <w:sz w:val="24"/>
        </w:rPr>
        <w:t xml:space="preserve"> and unwarranted</w:t>
      </w:r>
      <w:r>
        <w:rPr>
          <w:rFonts w:ascii="Times New Roman" w:hAnsi="Times New Roman" w:cs="Times New Roman"/>
          <w:bCs/>
          <w:sz w:val="24"/>
        </w:rPr>
        <w:t>. As covered in the guidance</w:t>
      </w:r>
      <w:r w:rsidR="0002645A">
        <w:rPr>
          <w:rFonts w:ascii="Times New Roman" w:hAnsi="Times New Roman" w:cs="Times New Roman"/>
          <w:bCs/>
          <w:sz w:val="24"/>
        </w:rPr>
        <w:t xml:space="preserve">, only mandatory emissions programs </w:t>
      </w:r>
      <w:r w:rsidRPr="000F2805">
        <w:rPr>
          <w:rFonts w:ascii="Times New Roman" w:hAnsi="Times New Roman" w:cs="Times New Roman"/>
          <w:bCs/>
          <w:sz w:val="24"/>
        </w:rPr>
        <w:t xml:space="preserve">have been </w:t>
      </w:r>
      <w:r w:rsidR="00367D82">
        <w:rPr>
          <w:rFonts w:ascii="Times New Roman" w:hAnsi="Times New Roman" w:cs="Times New Roman"/>
          <w:bCs/>
          <w:sz w:val="24"/>
        </w:rPr>
        <w:t xml:space="preserve">actively </w:t>
      </w:r>
      <w:r w:rsidRPr="000F2805">
        <w:rPr>
          <w:rFonts w:ascii="Times New Roman" w:hAnsi="Times New Roman" w:cs="Times New Roman"/>
          <w:bCs/>
          <w:sz w:val="24"/>
        </w:rPr>
        <w:t xml:space="preserve">traded on CFTC exchanges for </w:t>
      </w:r>
      <w:r>
        <w:rPr>
          <w:rFonts w:ascii="Times New Roman" w:hAnsi="Times New Roman" w:cs="Times New Roman"/>
          <w:bCs/>
          <w:sz w:val="24"/>
        </w:rPr>
        <w:t xml:space="preserve">two </w:t>
      </w:r>
      <w:r w:rsidRPr="000F2805">
        <w:rPr>
          <w:rFonts w:ascii="Times New Roman" w:hAnsi="Times New Roman" w:cs="Times New Roman"/>
          <w:bCs/>
          <w:sz w:val="24"/>
        </w:rPr>
        <w:t>decades</w:t>
      </w:r>
      <w:r>
        <w:rPr>
          <w:rFonts w:ascii="Times New Roman" w:hAnsi="Times New Roman" w:cs="Times New Roman"/>
          <w:bCs/>
          <w:sz w:val="24"/>
        </w:rPr>
        <w:t>.</w:t>
      </w:r>
      <w:r w:rsidR="0002645A">
        <w:rPr>
          <w:rFonts w:ascii="Times New Roman" w:hAnsi="Times New Roman" w:cs="Times New Roman"/>
          <w:bCs/>
          <w:sz w:val="24"/>
        </w:rPr>
        <w:t xml:space="preserve"> By contrast, there are 18 futures contracts with voluntary carbon products. But only three of these (16%) </w:t>
      </w:r>
      <w:r w:rsidR="00CA1731">
        <w:rPr>
          <w:rFonts w:ascii="Times New Roman" w:hAnsi="Times New Roman" w:cs="Times New Roman"/>
          <w:bCs/>
          <w:sz w:val="24"/>
        </w:rPr>
        <w:t xml:space="preserve">contracts </w:t>
      </w:r>
      <w:proofErr w:type="gramStart"/>
      <w:r w:rsidR="0002645A">
        <w:rPr>
          <w:rFonts w:ascii="Times New Roman" w:hAnsi="Times New Roman" w:cs="Times New Roman"/>
          <w:bCs/>
          <w:sz w:val="24"/>
        </w:rPr>
        <w:lastRenderedPageBreak/>
        <w:t>actually possess</w:t>
      </w:r>
      <w:r w:rsidR="00CA1731">
        <w:rPr>
          <w:rFonts w:ascii="Times New Roman" w:hAnsi="Times New Roman" w:cs="Times New Roman"/>
          <w:bCs/>
          <w:sz w:val="24"/>
        </w:rPr>
        <w:t>ed</w:t>
      </w:r>
      <w:proofErr w:type="gramEnd"/>
      <w:r w:rsidR="0002645A">
        <w:rPr>
          <w:rFonts w:ascii="Times New Roman" w:hAnsi="Times New Roman" w:cs="Times New Roman"/>
          <w:bCs/>
          <w:sz w:val="24"/>
        </w:rPr>
        <w:t xml:space="preserve"> an open interest</w:t>
      </w:r>
      <w:r w:rsidR="00CA1731">
        <w:rPr>
          <w:rFonts w:ascii="Times New Roman" w:hAnsi="Times New Roman" w:cs="Times New Roman"/>
          <w:bCs/>
          <w:sz w:val="24"/>
        </w:rPr>
        <w:t xml:space="preserve"> and trading volume at the time of the proposed guidance.</w:t>
      </w:r>
      <w:r w:rsidR="00CA1731">
        <w:rPr>
          <w:rStyle w:val="FootnoteReference"/>
          <w:rFonts w:ascii="Times New Roman" w:hAnsi="Times New Roman" w:cs="Times New Roman"/>
          <w:bCs/>
          <w:sz w:val="24"/>
        </w:rPr>
        <w:footnoteReference w:id="10"/>
      </w:r>
      <w:r w:rsidR="0002645A">
        <w:rPr>
          <w:rFonts w:ascii="Times New Roman" w:hAnsi="Times New Roman" w:cs="Times New Roman"/>
          <w:bCs/>
          <w:sz w:val="24"/>
        </w:rPr>
        <w:t xml:space="preserve"> </w:t>
      </w:r>
      <w:r w:rsidR="009B4653">
        <w:rPr>
          <w:rFonts w:ascii="Times New Roman" w:hAnsi="Times New Roman" w:cs="Times New Roman"/>
          <w:bCs/>
          <w:sz w:val="24"/>
        </w:rPr>
        <w:t>Even more problematic is the fact that n</w:t>
      </w:r>
      <w:r w:rsidR="00367D82">
        <w:rPr>
          <w:rFonts w:ascii="Times New Roman" w:hAnsi="Times New Roman" w:cs="Times New Roman"/>
          <w:bCs/>
          <w:sz w:val="24"/>
        </w:rPr>
        <w:t xml:space="preserve">one of these futures </w:t>
      </w:r>
      <w:r w:rsidR="009B4653">
        <w:rPr>
          <w:rFonts w:ascii="Times New Roman" w:hAnsi="Times New Roman" w:cs="Times New Roman"/>
          <w:bCs/>
          <w:sz w:val="24"/>
        </w:rPr>
        <w:t xml:space="preserve">contracts encompassed carbon credits. Rather, each of the three products with an open interest pertained to carbon offset programs. This suggests that businesses are only </w:t>
      </w:r>
      <w:r w:rsidR="00A93263">
        <w:rPr>
          <w:rFonts w:ascii="Times New Roman" w:hAnsi="Times New Roman" w:cs="Times New Roman"/>
          <w:bCs/>
          <w:sz w:val="24"/>
        </w:rPr>
        <w:t>slightly</w:t>
      </w:r>
      <w:r w:rsidR="009B4653">
        <w:rPr>
          <w:rFonts w:ascii="Times New Roman" w:hAnsi="Times New Roman" w:cs="Times New Roman"/>
          <w:bCs/>
          <w:sz w:val="24"/>
        </w:rPr>
        <w:t xml:space="preserve"> interested in futures that </w:t>
      </w:r>
      <w:r w:rsidR="00A93263">
        <w:rPr>
          <w:rFonts w:ascii="Times New Roman" w:hAnsi="Times New Roman" w:cs="Times New Roman"/>
          <w:bCs/>
          <w:sz w:val="24"/>
        </w:rPr>
        <w:t>provide compensation for</w:t>
      </w:r>
      <w:r w:rsidR="009B4653">
        <w:rPr>
          <w:rFonts w:ascii="Times New Roman" w:hAnsi="Times New Roman" w:cs="Times New Roman"/>
          <w:bCs/>
          <w:sz w:val="24"/>
        </w:rPr>
        <w:t xml:space="preserve"> investing </w:t>
      </w:r>
      <w:r w:rsidR="00A93263">
        <w:rPr>
          <w:rFonts w:ascii="Times New Roman" w:hAnsi="Times New Roman" w:cs="Times New Roman"/>
          <w:bCs/>
          <w:sz w:val="24"/>
        </w:rPr>
        <w:t xml:space="preserve">in </w:t>
      </w:r>
      <w:r w:rsidR="009B4653">
        <w:rPr>
          <w:rFonts w:ascii="Times New Roman" w:hAnsi="Times New Roman" w:cs="Times New Roman"/>
          <w:bCs/>
          <w:sz w:val="24"/>
        </w:rPr>
        <w:t>environmentally friendly initiative</w:t>
      </w:r>
      <w:r w:rsidR="00367D82">
        <w:rPr>
          <w:rFonts w:ascii="Times New Roman" w:hAnsi="Times New Roman" w:cs="Times New Roman"/>
          <w:bCs/>
          <w:sz w:val="24"/>
        </w:rPr>
        <w:t>s, while permitting their GHG emitting activities</w:t>
      </w:r>
      <w:r w:rsidR="009B4653">
        <w:rPr>
          <w:rFonts w:ascii="Times New Roman" w:hAnsi="Times New Roman" w:cs="Times New Roman"/>
          <w:bCs/>
          <w:sz w:val="24"/>
        </w:rPr>
        <w:t xml:space="preserve">. By contrast, there </w:t>
      </w:r>
      <w:r w:rsidR="00367D82">
        <w:rPr>
          <w:rFonts w:ascii="Times New Roman" w:hAnsi="Times New Roman" w:cs="Times New Roman"/>
          <w:bCs/>
          <w:sz w:val="24"/>
        </w:rPr>
        <w:t>doesn’t appear to be any</w:t>
      </w:r>
      <w:r w:rsidR="009B4653">
        <w:rPr>
          <w:rFonts w:ascii="Times New Roman" w:hAnsi="Times New Roman" w:cs="Times New Roman"/>
          <w:bCs/>
          <w:sz w:val="24"/>
        </w:rPr>
        <w:t xml:space="preserve"> </w:t>
      </w:r>
      <w:r w:rsidR="00367D82">
        <w:rPr>
          <w:rFonts w:ascii="Times New Roman" w:hAnsi="Times New Roman" w:cs="Times New Roman"/>
          <w:bCs/>
          <w:sz w:val="24"/>
        </w:rPr>
        <w:t>notable</w:t>
      </w:r>
      <w:r w:rsidR="009B4653">
        <w:rPr>
          <w:rFonts w:ascii="Times New Roman" w:hAnsi="Times New Roman" w:cs="Times New Roman"/>
          <w:bCs/>
          <w:sz w:val="24"/>
        </w:rPr>
        <w:t xml:space="preserve"> investor demand for carbon credit derivatives that </w:t>
      </w:r>
      <w:r w:rsidR="00367D82">
        <w:rPr>
          <w:rFonts w:ascii="Times New Roman" w:hAnsi="Times New Roman" w:cs="Times New Roman"/>
          <w:bCs/>
          <w:sz w:val="24"/>
        </w:rPr>
        <w:t>eliminate</w:t>
      </w:r>
      <w:r w:rsidR="009B4653">
        <w:rPr>
          <w:rFonts w:ascii="Times New Roman" w:hAnsi="Times New Roman" w:cs="Times New Roman"/>
          <w:bCs/>
          <w:sz w:val="24"/>
        </w:rPr>
        <w:t xml:space="preserve"> or reduce a business’s emissions. </w:t>
      </w:r>
      <w:r>
        <w:rPr>
          <w:rFonts w:ascii="Times New Roman" w:hAnsi="Times New Roman" w:cs="Times New Roman"/>
          <w:bCs/>
          <w:sz w:val="24"/>
        </w:rPr>
        <w:t>Why does the Commission</w:t>
      </w:r>
      <w:r w:rsidRPr="000F2805">
        <w:rPr>
          <w:rFonts w:ascii="Times New Roman" w:hAnsi="Times New Roman" w:cs="Times New Roman"/>
          <w:bCs/>
          <w:sz w:val="24"/>
        </w:rPr>
        <w:t xml:space="preserve"> suddenly feel </w:t>
      </w:r>
      <w:r w:rsidR="008C5D49">
        <w:rPr>
          <w:rFonts w:ascii="Times New Roman" w:hAnsi="Times New Roman" w:cs="Times New Roman"/>
          <w:bCs/>
          <w:sz w:val="24"/>
        </w:rPr>
        <w:t>compelled</w:t>
      </w:r>
      <w:r w:rsidRPr="000F2805">
        <w:rPr>
          <w:rFonts w:ascii="Times New Roman" w:hAnsi="Times New Roman" w:cs="Times New Roman"/>
          <w:bCs/>
          <w:sz w:val="24"/>
        </w:rPr>
        <w:t xml:space="preserve"> to begin regulating this market now absent a</w:t>
      </w:r>
      <w:r w:rsidR="009B4653">
        <w:rPr>
          <w:rFonts w:ascii="Times New Roman" w:hAnsi="Times New Roman" w:cs="Times New Roman"/>
          <w:bCs/>
          <w:sz w:val="24"/>
        </w:rPr>
        <w:t>ny market incentive or</w:t>
      </w:r>
      <w:r w:rsidRPr="000F2805">
        <w:rPr>
          <w:rFonts w:ascii="Times New Roman" w:hAnsi="Times New Roman" w:cs="Times New Roman"/>
          <w:bCs/>
          <w:sz w:val="24"/>
        </w:rPr>
        <w:t xml:space="preserve"> clear </w:t>
      </w:r>
      <w:r>
        <w:rPr>
          <w:rFonts w:ascii="Times New Roman" w:hAnsi="Times New Roman" w:cs="Times New Roman"/>
          <w:bCs/>
          <w:sz w:val="24"/>
        </w:rPr>
        <w:t xml:space="preserve">policy </w:t>
      </w:r>
      <w:r w:rsidRPr="000F2805">
        <w:rPr>
          <w:rFonts w:ascii="Times New Roman" w:hAnsi="Times New Roman" w:cs="Times New Roman"/>
          <w:bCs/>
          <w:sz w:val="24"/>
        </w:rPr>
        <w:t>justification</w:t>
      </w:r>
      <w:r>
        <w:rPr>
          <w:rFonts w:ascii="Times New Roman" w:hAnsi="Times New Roman" w:cs="Times New Roman"/>
          <w:bCs/>
          <w:sz w:val="24"/>
        </w:rPr>
        <w:t>?</w:t>
      </w:r>
      <w:r w:rsidRPr="000F2805">
        <w:rPr>
          <w:rFonts w:ascii="Times New Roman" w:hAnsi="Times New Roman" w:cs="Times New Roman"/>
          <w:bCs/>
          <w:sz w:val="24"/>
        </w:rPr>
        <w:t xml:space="preserve"> </w:t>
      </w:r>
    </w:p>
    <w:p w14:paraId="48ECBB71" w14:textId="2EC1093F" w:rsidR="00505A03" w:rsidRDefault="00505A03" w:rsidP="00505A03">
      <w:pPr>
        <w:rPr>
          <w:rFonts w:ascii="Times New Roman" w:hAnsi="Times New Roman" w:cs="Times New Roman"/>
          <w:bCs/>
          <w:sz w:val="24"/>
        </w:rPr>
      </w:pPr>
      <w:r>
        <w:rPr>
          <w:rFonts w:ascii="Times New Roman" w:hAnsi="Times New Roman" w:cs="Times New Roman"/>
          <w:bCs/>
          <w:sz w:val="24"/>
        </w:rPr>
        <w:t xml:space="preserve">It seems more likely that the Commission has taken issue with </w:t>
      </w:r>
      <w:r w:rsidR="00A93263">
        <w:rPr>
          <w:rFonts w:ascii="Times New Roman" w:hAnsi="Times New Roman" w:cs="Times New Roman"/>
          <w:bCs/>
          <w:sz w:val="24"/>
        </w:rPr>
        <w:t xml:space="preserve">such a </w:t>
      </w:r>
      <w:r>
        <w:rPr>
          <w:rFonts w:ascii="Times New Roman" w:hAnsi="Times New Roman" w:cs="Times New Roman"/>
          <w:bCs/>
          <w:sz w:val="24"/>
        </w:rPr>
        <w:t>lack of investor interest to participate in the VCC market. This guidance is merely a stamp of approval to kickstart</w:t>
      </w:r>
      <w:r w:rsidR="008C5D49">
        <w:rPr>
          <w:rFonts w:ascii="Times New Roman" w:hAnsi="Times New Roman" w:cs="Times New Roman"/>
          <w:bCs/>
          <w:sz w:val="24"/>
        </w:rPr>
        <w:t xml:space="preserve"> investor </w:t>
      </w:r>
      <w:r>
        <w:rPr>
          <w:rFonts w:ascii="Times New Roman" w:hAnsi="Times New Roman" w:cs="Times New Roman"/>
          <w:bCs/>
          <w:sz w:val="24"/>
        </w:rPr>
        <w:t xml:space="preserve">participation with VCCs, imposing regulatory standards that validate the market as </w:t>
      </w:r>
      <w:r w:rsidR="008C5D49">
        <w:rPr>
          <w:rFonts w:ascii="Times New Roman" w:hAnsi="Times New Roman" w:cs="Times New Roman"/>
          <w:bCs/>
          <w:sz w:val="24"/>
        </w:rPr>
        <w:t xml:space="preserve">a </w:t>
      </w:r>
      <w:r>
        <w:rPr>
          <w:rFonts w:ascii="Times New Roman" w:hAnsi="Times New Roman" w:cs="Times New Roman"/>
          <w:bCs/>
          <w:sz w:val="24"/>
        </w:rPr>
        <w:t>worthwhile</w:t>
      </w:r>
      <w:r w:rsidR="008C5D49">
        <w:rPr>
          <w:rFonts w:ascii="Times New Roman" w:hAnsi="Times New Roman" w:cs="Times New Roman"/>
          <w:bCs/>
          <w:sz w:val="24"/>
        </w:rPr>
        <w:t xml:space="preserve"> venture</w:t>
      </w:r>
      <w:r>
        <w:rPr>
          <w:rFonts w:ascii="Times New Roman" w:hAnsi="Times New Roman" w:cs="Times New Roman"/>
          <w:bCs/>
          <w:sz w:val="24"/>
        </w:rPr>
        <w:t>. This is evident in the guidance itself which admits that “</w:t>
      </w:r>
      <w:r w:rsidRPr="00742D7F">
        <w:rPr>
          <w:rFonts w:ascii="Times New Roman" w:hAnsi="Times New Roman" w:cs="Times New Roman"/>
          <w:bCs/>
          <w:sz w:val="24"/>
        </w:rPr>
        <w:t>recently, supplies of VCCs are generally considered to be high relative to demand</w:t>
      </w:r>
      <w:r>
        <w:rPr>
          <w:rFonts w:ascii="Times New Roman" w:hAnsi="Times New Roman" w:cs="Times New Roman"/>
          <w:bCs/>
          <w:sz w:val="24"/>
        </w:rPr>
        <w:t>.”</w:t>
      </w:r>
      <w:r>
        <w:rPr>
          <w:rStyle w:val="FootnoteReference"/>
          <w:rFonts w:ascii="Times New Roman" w:hAnsi="Times New Roman" w:cs="Times New Roman"/>
          <w:bCs/>
          <w:sz w:val="24"/>
        </w:rPr>
        <w:footnoteReference w:id="11"/>
      </w:r>
      <w:r>
        <w:rPr>
          <w:rFonts w:ascii="Times New Roman" w:hAnsi="Times New Roman" w:cs="Times New Roman"/>
          <w:bCs/>
          <w:sz w:val="24"/>
        </w:rPr>
        <w:t xml:space="preserve"> Additionally, there has only been one U.S.-based commodities exchange that has </w:t>
      </w:r>
      <w:proofErr w:type="gramStart"/>
      <w:r>
        <w:rPr>
          <w:rFonts w:ascii="Times New Roman" w:hAnsi="Times New Roman" w:cs="Times New Roman"/>
          <w:bCs/>
          <w:sz w:val="24"/>
        </w:rPr>
        <w:t>actually shown</w:t>
      </w:r>
      <w:proofErr w:type="gramEnd"/>
      <w:r>
        <w:rPr>
          <w:rFonts w:ascii="Times New Roman" w:hAnsi="Times New Roman" w:cs="Times New Roman"/>
          <w:bCs/>
          <w:sz w:val="24"/>
        </w:rPr>
        <w:t xml:space="preserve"> interest in</w:t>
      </w:r>
      <w:r w:rsidR="008C5D49">
        <w:rPr>
          <w:rFonts w:ascii="Times New Roman" w:hAnsi="Times New Roman" w:cs="Times New Roman"/>
          <w:bCs/>
          <w:sz w:val="24"/>
        </w:rPr>
        <w:t xml:space="preserve"> listing</w:t>
      </w:r>
      <w:r>
        <w:rPr>
          <w:rFonts w:ascii="Times New Roman" w:hAnsi="Times New Roman" w:cs="Times New Roman"/>
          <w:bCs/>
          <w:sz w:val="24"/>
        </w:rPr>
        <w:t xml:space="preserve"> VCCs.</w:t>
      </w:r>
      <w:r>
        <w:rPr>
          <w:rStyle w:val="FootnoteReference"/>
          <w:rFonts w:ascii="Times New Roman" w:hAnsi="Times New Roman" w:cs="Times New Roman"/>
          <w:bCs/>
          <w:sz w:val="24"/>
        </w:rPr>
        <w:footnoteReference w:id="12"/>
      </w:r>
      <w:r>
        <w:rPr>
          <w:rFonts w:ascii="Times New Roman" w:hAnsi="Times New Roman" w:cs="Times New Roman"/>
          <w:bCs/>
          <w:sz w:val="24"/>
        </w:rPr>
        <w:t xml:space="preserve"> </w:t>
      </w:r>
      <w:r w:rsidR="00CA1731">
        <w:rPr>
          <w:rFonts w:ascii="Times New Roman" w:hAnsi="Times New Roman" w:cs="Times New Roman"/>
          <w:bCs/>
          <w:sz w:val="24"/>
        </w:rPr>
        <w:t xml:space="preserve">The abovementioned futures contracts with VCCs are confined only to this </w:t>
      </w:r>
      <w:r w:rsidR="00367D82">
        <w:rPr>
          <w:rFonts w:ascii="Times New Roman" w:hAnsi="Times New Roman" w:cs="Times New Roman"/>
          <w:bCs/>
          <w:sz w:val="24"/>
        </w:rPr>
        <w:t xml:space="preserve">New York </w:t>
      </w:r>
      <w:r w:rsidR="00CA1731">
        <w:rPr>
          <w:rFonts w:ascii="Times New Roman" w:hAnsi="Times New Roman" w:cs="Times New Roman"/>
          <w:bCs/>
          <w:sz w:val="24"/>
        </w:rPr>
        <w:t xml:space="preserve">exchange. Given how only 16% of these contracts carry any investor interest, the Commission cannot use this proposal </w:t>
      </w:r>
      <w:proofErr w:type="gramStart"/>
      <w:r w:rsidR="00CA1731">
        <w:rPr>
          <w:rFonts w:ascii="Times New Roman" w:hAnsi="Times New Roman" w:cs="Times New Roman"/>
          <w:bCs/>
          <w:sz w:val="24"/>
        </w:rPr>
        <w:t>as a means to</w:t>
      </w:r>
      <w:proofErr w:type="gramEnd"/>
      <w:r w:rsidR="00CA1731">
        <w:rPr>
          <w:rFonts w:ascii="Times New Roman" w:hAnsi="Times New Roman" w:cs="Times New Roman"/>
          <w:bCs/>
          <w:sz w:val="24"/>
        </w:rPr>
        <w:t xml:space="preserve"> inspire market participation in this space. As the</w:t>
      </w:r>
      <w:r>
        <w:rPr>
          <w:rFonts w:ascii="Times New Roman" w:hAnsi="Times New Roman" w:cs="Times New Roman"/>
          <w:bCs/>
          <w:sz w:val="24"/>
        </w:rPr>
        <w:t xml:space="preserve"> corporate participation </w:t>
      </w:r>
      <w:r w:rsidR="00A93263">
        <w:rPr>
          <w:rFonts w:ascii="Times New Roman" w:hAnsi="Times New Roman" w:cs="Times New Roman"/>
          <w:bCs/>
          <w:sz w:val="24"/>
        </w:rPr>
        <w:t xml:space="preserve">rate in VCC trading is </w:t>
      </w:r>
      <w:r w:rsidR="00367D82">
        <w:rPr>
          <w:rFonts w:ascii="Times New Roman" w:hAnsi="Times New Roman" w:cs="Times New Roman"/>
          <w:bCs/>
          <w:sz w:val="24"/>
        </w:rPr>
        <w:t>virtually</w:t>
      </w:r>
      <w:r w:rsidR="00A93263">
        <w:rPr>
          <w:rFonts w:ascii="Times New Roman" w:hAnsi="Times New Roman" w:cs="Times New Roman"/>
          <w:bCs/>
          <w:sz w:val="24"/>
        </w:rPr>
        <w:t xml:space="preserve"> </w:t>
      </w:r>
      <w:r w:rsidR="00367D82">
        <w:rPr>
          <w:rFonts w:ascii="Times New Roman" w:hAnsi="Times New Roman" w:cs="Times New Roman"/>
          <w:bCs/>
          <w:sz w:val="24"/>
        </w:rPr>
        <w:t>non-existent</w:t>
      </w:r>
      <w:r w:rsidR="00A93263">
        <w:rPr>
          <w:rFonts w:ascii="Times New Roman" w:hAnsi="Times New Roman" w:cs="Times New Roman"/>
          <w:bCs/>
          <w:sz w:val="24"/>
        </w:rPr>
        <w:t xml:space="preserve"> compared to the</w:t>
      </w:r>
      <w:r>
        <w:rPr>
          <w:rFonts w:ascii="Times New Roman" w:hAnsi="Times New Roman" w:cs="Times New Roman"/>
          <w:bCs/>
          <w:sz w:val="24"/>
        </w:rPr>
        <w:t xml:space="preserve"> available supply of carbon credits, the CFTC cannot artificially insert guidance standards in a struggling market as a means to boost investor demand and trust.</w:t>
      </w:r>
      <w:r>
        <w:rPr>
          <w:rStyle w:val="FootnoteReference"/>
          <w:rFonts w:ascii="Times New Roman" w:hAnsi="Times New Roman" w:cs="Times New Roman"/>
          <w:bCs/>
          <w:sz w:val="24"/>
        </w:rPr>
        <w:footnoteReference w:id="13"/>
      </w:r>
      <w:r>
        <w:rPr>
          <w:rFonts w:ascii="Times New Roman" w:hAnsi="Times New Roman" w:cs="Times New Roman"/>
          <w:bCs/>
          <w:sz w:val="24"/>
        </w:rPr>
        <w:t xml:space="preserve"> The CFTC is tasked by Congress to create standards for an already viable market for futures trading, not to advance standards that elevate a fleeting sub-market it has no authority over.</w:t>
      </w:r>
    </w:p>
    <w:p w14:paraId="3CDFB784" w14:textId="53826197" w:rsidR="00505A03" w:rsidRDefault="00505A03" w:rsidP="00505A03">
      <w:pPr>
        <w:rPr>
          <w:rFonts w:ascii="Times New Roman" w:hAnsi="Times New Roman" w:cs="Times New Roman"/>
          <w:b/>
          <w:bCs/>
          <w:sz w:val="24"/>
        </w:rPr>
      </w:pPr>
      <w:r>
        <w:rPr>
          <w:rFonts w:ascii="Times New Roman" w:hAnsi="Times New Roman" w:cs="Times New Roman"/>
          <w:b/>
          <w:bCs/>
          <w:sz w:val="24"/>
        </w:rPr>
        <w:t xml:space="preserve">Government </w:t>
      </w:r>
      <w:r w:rsidR="00987C65">
        <w:rPr>
          <w:rFonts w:ascii="Times New Roman" w:hAnsi="Times New Roman" w:cs="Times New Roman"/>
          <w:b/>
          <w:bCs/>
          <w:sz w:val="24"/>
        </w:rPr>
        <w:t>i</w:t>
      </w:r>
      <w:r>
        <w:rPr>
          <w:rFonts w:ascii="Times New Roman" w:hAnsi="Times New Roman" w:cs="Times New Roman"/>
          <w:b/>
          <w:bCs/>
          <w:sz w:val="24"/>
        </w:rPr>
        <w:t xml:space="preserve">ntervention in a voluntary market is </w:t>
      </w:r>
      <w:proofErr w:type="gramStart"/>
      <w:r>
        <w:rPr>
          <w:rFonts w:ascii="Times New Roman" w:hAnsi="Times New Roman" w:cs="Times New Roman"/>
          <w:b/>
          <w:bCs/>
          <w:sz w:val="24"/>
        </w:rPr>
        <w:t>unwarranted</w:t>
      </w:r>
      <w:proofErr w:type="gramEnd"/>
    </w:p>
    <w:p w14:paraId="6D901825" w14:textId="761FC92D" w:rsidR="00505A03" w:rsidRDefault="00505A03" w:rsidP="00505A03">
      <w:pPr>
        <w:rPr>
          <w:rFonts w:ascii="Times New Roman" w:hAnsi="Times New Roman" w:cs="Times New Roman"/>
          <w:bCs/>
          <w:sz w:val="24"/>
        </w:rPr>
      </w:pPr>
      <w:r>
        <w:rPr>
          <w:rFonts w:ascii="Times New Roman" w:hAnsi="Times New Roman" w:cs="Times New Roman"/>
          <w:bCs/>
          <w:sz w:val="24"/>
        </w:rPr>
        <w:lastRenderedPageBreak/>
        <w:t xml:space="preserve">This guidance clearly distinguishes between voluntary markets like VCCs and mandatory cap-and-trade markets. Where the former is self-regulated by investor willingness or unwillingness to participate, the latter is influenced by government mandate to induce participation in the market or refrain from emitting GHG. What the Commission </w:t>
      </w:r>
      <w:r w:rsidR="008C5D49">
        <w:rPr>
          <w:rFonts w:ascii="Times New Roman" w:hAnsi="Times New Roman" w:cs="Times New Roman"/>
          <w:bCs/>
          <w:sz w:val="24"/>
        </w:rPr>
        <w:t>seeks to</w:t>
      </w:r>
      <w:r>
        <w:rPr>
          <w:rFonts w:ascii="Times New Roman" w:hAnsi="Times New Roman" w:cs="Times New Roman"/>
          <w:bCs/>
          <w:sz w:val="24"/>
        </w:rPr>
        <w:t xml:space="preserve"> achieve here is something completely unorthodox: adapting mandatory compliance standards to a voluntary carbon credit market.</w:t>
      </w:r>
      <w:r w:rsidR="001710B2">
        <w:rPr>
          <w:rStyle w:val="FootnoteReference"/>
          <w:rFonts w:ascii="Times New Roman" w:hAnsi="Times New Roman" w:cs="Times New Roman"/>
          <w:bCs/>
          <w:sz w:val="24"/>
        </w:rPr>
        <w:footnoteReference w:id="14"/>
      </w:r>
      <w:r>
        <w:rPr>
          <w:rFonts w:ascii="Times New Roman" w:hAnsi="Times New Roman" w:cs="Times New Roman"/>
          <w:bCs/>
          <w:sz w:val="24"/>
        </w:rPr>
        <w:t xml:space="preserve"> This introduces an unofficial hybrid of government coercing investors to </w:t>
      </w:r>
      <w:r w:rsidR="008C5D49">
        <w:rPr>
          <w:rFonts w:ascii="Times New Roman" w:hAnsi="Times New Roman" w:cs="Times New Roman"/>
          <w:bCs/>
          <w:sz w:val="24"/>
        </w:rPr>
        <w:t>properly exchange</w:t>
      </w:r>
      <w:r>
        <w:rPr>
          <w:rFonts w:ascii="Times New Roman" w:hAnsi="Times New Roman" w:cs="Times New Roman"/>
          <w:bCs/>
          <w:sz w:val="24"/>
        </w:rPr>
        <w:t xml:space="preserve"> VCC</w:t>
      </w:r>
      <w:r w:rsidR="008C5D49">
        <w:rPr>
          <w:rFonts w:ascii="Times New Roman" w:hAnsi="Times New Roman" w:cs="Times New Roman"/>
          <w:bCs/>
          <w:sz w:val="24"/>
        </w:rPr>
        <w:t>s</w:t>
      </w:r>
      <w:r>
        <w:rPr>
          <w:rFonts w:ascii="Times New Roman" w:hAnsi="Times New Roman" w:cs="Times New Roman"/>
          <w:bCs/>
          <w:sz w:val="24"/>
        </w:rPr>
        <w:t xml:space="preserve"> or suffer the penalties for violating CFTC compliance standards.</w:t>
      </w:r>
      <w:r w:rsidRPr="005D0F46">
        <w:rPr>
          <w:rFonts w:ascii="Calibri" w:hAnsi="Calibri" w:cs="Calibri"/>
        </w:rPr>
        <w:t xml:space="preserve"> </w:t>
      </w:r>
      <w:r w:rsidRPr="005D0F46">
        <w:rPr>
          <w:rFonts w:ascii="Times New Roman" w:hAnsi="Times New Roman" w:cs="Times New Roman"/>
          <w:bCs/>
          <w:sz w:val="24"/>
        </w:rPr>
        <w:t xml:space="preserve">Voluntary markets such as these are </w:t>
      </w:r>
      <w:r>
        <w:rPr>
          <w:rFonts w:ascii="Times New Roman" w:hAnsi="Times New Roman" w:cs="Times New Roman"/>
          <w:bCs/>
          <w:sz w:val="24"/>
        </w:rPr>
        <w:t>meant to be</w:t>
      </w:r>
      <w:r w:rsidRPr="005D0F46">
        <w:rPr>
          <w:rFonts w:ascii="Times New Roman" w:hAnsi="Times New Roman" w:cs="Times New Roman"/>
          <w:bCs/>
          <w:sz w:val="24"/>
        </w:rPr>
        <w:t xml:space="preserve"> self-regulated by the participants</w:t>
      </w:r>
      <w:r w:rsidR="00E44A54">
        <w:rPr>
          <w:rFonts w:ascii="Times New Roman" w:hAnsi="Times New Roman" w:cs="Times New Roman"/>
          <w:bCs/>
          <w:sz w:val="24"/>
        </w:rPr>
        <w:t xml:space="preserve"> with no government oversight,</w:t>
      </w:r>
      <w:r w:rsidRPr="005D0F46">
        <w:rPr>
          <w:rFonts w:ascii="Times New Roman" w:hAnsi="Times New Roman" w:cs="Times New Roman"/>
          <w:bCs/>
          <w:sz w:val="24"/>
        </w:rPr>
        <w:t xml:space="preserve"> given that the CFTC did not create the parameters for </w:t>
      </w:r>
      <w:r>
        <w:rPr>
          <w:rFonts w:ascii="Times New Roman" w:hAnsi="Times New Roman" w:cs="Times New Roman"/>
          <w:bCs/>
          <w:sz w:val="24"/>
        </w:rPr>
        <w:t xml:space="preserve">trading </w:t>
      </w:r>
      <w:r w:rsidRPr="005D0F46">
        <w:rPr>
          <w:rFonts w:ascii="Times New Roman" w:hAnsi="Times New Roman" w:cs="Times New Roman"/>
          <w:bCs/>
          <w:sz w:val="24"/>
        </w:rPr>
        <w:t>carbon derivatives</w:t>
      </w:r>
      <w:r>
        <w:rPr>
          <w:rFonts w:ascii="Times New Roman" w:hAnsi="Times New Roman" w:cs="Times New Roman"/>
          <w:bCs/>
          <w:sz w:val="24"/>
        </w:rPr>
        <w:t xml:space="preserve"> in the first place</w:t>
      </w:r>
      <w:r w:rsidRPr="005D0F46">
        <w:rPr>
          <w:rFonts w:ascii="Times New Roman" w:hAnsi="Times New Roman" w:cs="Times New Roman"/>
          <w:bCs/>
          <w:sz w:val="24"/>
        </w:rPr>
        <w:t>.</w:t>
      </w:r>
      <w:r>
        <w:rPr>
          <w:rFonts w:ascii="Times New Roman" w:hAnsi="Times New Roman" w:cs="Times New Roman"/>
          <w:bCs/>
          <w:sz w:val="24"/>
        </w:rPr>
        <w:t xml:space="preserve"> Rather, VCCs are issued by a carbon crediting program with standards set by the </w:t>
      </w:r>
      <w:r w:rsidRPr="003F7BB0">
        <w:rPr>
          <w:rFonts w:ascii="Times New Roman" w:hAnsi="Times New Roman" w:cs="Times New Roman"/>
          <w:bCs/>
          <w:sz w:val="24"/>
        </w:rPr>
        <w:t>Integrity Council for Voluntary Carbon Markets</w:t>
      </w:r>
      <w:r>
        <w:rPr>
          <w:rFonts w:ascii="Times New Roman" w:hAnsi="Times New Roman" w:cs="Times New Roman"/>
          <w:bCs/>
          <w:sz w:val="24"/>
        </w:rPr>
        <w:t>,</w:t>
      </w:r>
      <w:r w:rsidRPr="003F7BB0">
        <w:rPr>
          <w:rFonts w:ascii="Times New Roman" w:hAnsi="Times New Roman" w:cs="Times New Roman"/>
          <w:bCs/>
          <w:sz w:val="24"/>
        </w:rPr>
        <w:t xml:space="preserve"> </w:t>
      </w:r>
      <w:r>
        <w:rPr>
          <w:rFonts w:ascii="Times New Roman" w:hAnsi="Times New Roman" w:cs="Times New Roman"/>
          <w:bCs/>
          <w:sz w:val="24"/>
        </w:rPr>
        <w:t>an independent governance body.</w:t>
      </w:r>
      <w:r>
        <w:rPr>
          <w:rStyle w:val="FootnoteReference"/>
          <w:rFonts w:ascii="Times New Roman" w:hAnsi="Times New Roman" w:cs="Times New Roman"/>
          <w:bCs/>
          <w:sz w:val="24"/>
        </w:rPr>
        <w:footnoteReference w:id="15"/>
      </w:r>
      <w:r>
        <w:rPr>
          <w:rFonts w:ascii="Times New Roman" w:hAnsi="Times New Roman" w:cs="Times New Roman"/>
          <w:bCs/>
          <w:sz w:val="24"/>
        </w:rPr>
        <w:t xml:space="preserve"> </w:t>
      </w:r>
    </w:p>
    <w:p w14:paraId="4BFB3170" w14:textId="55F48E30" w:rsidR="00505A03" w:rsidRDefault="00505A03" w:rsidP="00505A03">
      <w:pPr>
        <w:rPr>
          <w:rFonts w:ascii="Times New Roman" w:hAnsi="Times New Roman" w:cs="Times New Roman"/>
          <w:bCs/>
          <w:sz w:val="24"/>
        </w:rPr>
      </w:pPr>
      <w:r>
        <w:rPr>
          <w:rFonts w:ascii="Times New Roman" w:hAnsi="Times New Roman" w:cs="Times New Roman"/>
          <w:bCs/>
          <w:sz w:val="24"/>
        </w:rPr>
        <w:t xml:space="preserve">The Commission </w:t>
      </w:r>
      <w:r w:rsidRPr="003F7BB0">
        <w:rPr>
          <w:rFonts w:ascii="Times New Roman" w:hAnsi="Times New Roman" w:cs="Times New Roman"/>
          <w:bCs/>
          <w:sz w:val="24"/>
        </w:rPr>
        <w:t>only possesses authority to ensure compliance with standard derivatives, not contracts with voluntary carbon credit provisions attached</w:t>
      </w:r>
      <w:r>
        <w:rPr>
          <w:rFonts w:ascii="Times New Roman" w:hAnsi="Times New Roman" w:cs="Times New Roman"/>
          <w:bCs/>
          <w:sz w:val="24"/>
        </w:rPr>
        <w:t xml:space="preserve">. The CFTC cannot </w:t>
      </w:r>
      <w:r w:rsidRPr="003F7BB0">
        <w:rPr>
          <w:rFonts w:ascii="Times New Roman" w:hAnsi="Times New Roman" w:cs="Times New Roman"/>
          <w:bCs/>
          <w:sz w:val="24"/>
        </w:rPr>
        <w:t xml:space="preserve">overextend its existing anti-fraud and anti-manipulation mechanisms </w:t>
      </w:r>
      <w:r>
        <w:rPr>
          <w:rFonts w:ascii="Times New Roman" w:hAnsi="Times New Roman" w:cs="Times New Roman"/>
          <w:bCs/>
          <w:sz w:val="24"/>
        </w:rPr>
        <w:t xml:space="preserve">to cover </w:t>
      </w:r>
      <w:r w:rsidR="009A49CC">
        <w:rPr>
          <w:rFonts w:ascii="Times New Roman" w:hAnsi="Times New Roman" w:cs="Times New Roman"/>
          <w:bCs/>
          <w:sz w:val="24"/>
        </w:rPr>
        <w:t xml:space="preserve">private </w:t>
      </w:r>
      <w:r>
        <w:rPr>
          <w:rFonts w:ascii="Times New Roman" w:hAnsi="Times New Roman" w:cs="Times New Roman"/>
          <w:bCs/>
          <w:sz w:val="24"/>
        </w:rPr>
        <w:t xml:space="preserve">environmental agreements and </w:t>
      </w:r>
      <w:r w:rsidRPr="003F7BB0">
        <w:rPr>
          <w:rFonts w:ascii="Times New Roman" w:hAnsi="Times New Roman" w:cs="Times New Roman"/>
          <w:bCs/>
          <w:sz w:val="24"/>
        </w:rPr>
        <w:t xml:space="preserve">punish </w:t>
      </w:r>
      <w:r>
        <w:rPr>
          <w:rFonts w:ascii="Times New Roman" w:hAnsi="Times New Roman" w:cs="Times New Roman"/>
          <w:bCs/>
          <w:sz w:val="24"/>
        </w:rPr>
        <w:t xml:space="preserve">perceived </w:t>
      </w:r>
      <w:r w:rsidRPr="003F7BB0">
        <w:rPr>
          <w:rFonts w:ascii="Times New Roman" w:hAnsi="Times New Roman" w:cs="Times New Roman"/>
          <w:bCs/>
          <w:sz w:val="24"/>
        </w:rPr>
        <w:t>violations</w:t>
      </w:r>
      <w:r>
        <w:rPr>
          <w:rFonts w:ascii="Times New Roman" w:hAnsi="Times New Roman" w:cs="Times New Roman"/>
          <w:bCs/>
          <w:sz w:val="24"/>
        </w:rPr>
        <w:t xml:space="preserve"> in VCC trading.</w:t>
      </w:r>
      <w:r>
        <w:rPr>
          <w:rStyle w:val="FootnoteReference"/>
          <w:rFonts w:ascii="Times New Roman" w:hAnsi="Times New Roman" w:cs="Times New Roman"/>
          <w:bCs/>
          <w:sz w:val="24"/>
        </w:rPr>
        <w:footnoteReference w:id="16"/>
      </w:r>
      <w:r>
        <w:rPr>
          <w:rFonts w:ascii="Times New Roman" w:hAnsi="Times New Roman" w:cs="Times New Roman"/>
          <w:bCs/>
          <w:sz w:val="24"/>
        </w:rPr>
        <w:t xml:space="preserve"> Such agreements over carbon credits are merely provisional </w:t>
      </w:r>
      <w:r w:rsidR="009A49CC">
        <w:rPr>
          <w:rFonts w:ascii="Times New Roman" w:hAnsi="Times New Roman" w:cs="Times New Roman"/>
          <w:bCs/>
          <w:sz w:val="24"/>
        </w:rPr>
        <w:t>attachments and</w:t>
      </w:r>
      <w:r>
        <w:rPr>
          <w:rFonts w:ascii="Times New Roman" w:hAnsi="Times New Roman" w:cs="Times New Roman"/>
          <w:bCs/>
          <w:sz w:val="24"/>
        </w:rPr>
        <w:t xml:space="preserve"> does not represent the actual derivatives being regulated</w:t>
      </w:r>
      <w:r w:rsidR="008C5D49">
        <w:rPr>
          <w:rFonts w:ascii="Times New Roman" w:hAnsi="Times New Roman" w:cs="Times New Roman"/>
          <w:bCs/>
          <w:sz w:val="24"/>
        </w:rPr>
        <w:t xml:space="preserve"> by the agency</w:t>
      </w:r>
      <w:r>
        <w:rPr>
          <w:rFonts w:ascii="Times New Roman" w:hAnsi="Times New Roman" w:cs="Times New Roman"/>
          <w:bCs/>
          <w:sz w:val="24"/>
        </w:rPr>
        <w:t xml:space="preserve">. The CFTC’s </w:t>
      </w:r>
      <w:r w:rsidRPr="006B657B">
        <w:rPr>
          <w:rFonts w:ascii="Times New Roman" w:hAnsi="Times New Roman" w:cs="Times New Roman"/>
          <w:bCs/>
          <w:sz w:val="24"/>
        </w:rPr>
        <w:t>Environmental Fraud Task Force</w:t>
      </w:r>
      <w:r>
        <w:rPr>
          <w:rFonts w:ascii="Times New Roman" w:hAnsi="Times New Roman" w:cs="Times New Roman"/>
          <w:bCs/>
          <w:sz w:val="24"/>
        </w:rPr>
        <w:t xml:space="preserve"> is not authorized to punish conduct over </w:t>
      </w:r>
      <w:r w:rsidR="008C5D49">
        <w:rPr>
          <w:rFonts w:ascii="Times New Roman" w:hAnsi="Times New Roman" w:cs="Times New Roman"/>
          <w:bCs/>
          <w:sz w:val="24"/>
        </w:rPr>
        <w:t xml:space="preserve">trading </w:t>
      </w:r>
      <w:r>
        <w:rPr>
          <w:rFonts w:ascii="Times New Roman" w:hAnsi="Times New Roman" w:cs="Times New Roman"/>
          <w:bCs/>
          <w:sz w:val="24"/>
        </w:rPr>
        <w:t xml:space="preserve">carbon credits simply because </w:t>
      </w:r>
      <w:r w:rsidR="009A49CC">
        <w:rPr>
          <w:rFonts w:ascii="Times New Roman" w:hAnsi="Times New Roman" w:cs="Times New Roman"/>
          <w:bCs/>
          <w:sz w:val="24"/>
        </w:rPr>
        <w:t>the agency cannot control voluntary GHG mitigation efforts</w:t>
      </w:r>
      <w:r>
        <w:rPr>
          <w:rFonts w:ascii="Times New Roman" w:hAnsi="Times New Roman" w:cs="Times New Roman"/>
          <w:bCs/>
          <w:sz w:val="24"/>
        </w:rPr>
        <w:t>. The Commission needs to keep its regulatory focus</w:t>
      </w:r>
      <w:r>
        <w:rPr>
          <w:rStyle w:val="FootnoteReference"/>
          <w:rFonts w:ascii="Times New Roman" w:hAnsi="Times New Roman" w:cs="Times New Roman"/>
          <w:bCs/>
          <w:sz w:val="24"/>
        </w:rPr>
        <w:footnoteReference w:id="17"/>
      </w:r>
      <w:r>
        <w:rPr>
          <w:rFonts w:ascii="Times New Roman" w:hAnsi="Times New Roman" w:cs="Times New Roman"/>
          <w:bCs/>
          <w:sz w:val="24"/>
        </w:rPr>
        <w:t xml:space="preserve"> on the actual underlying assets being represented by derivatives</w:t>
      </w:r>
      <w:r w:rsidR="001710B2">
        <w:rPr>
          <w:rStyle w:val="FootnoteReference"/>
          <w:rFonts w:ascii="Times New Roman" w:hAnsi="Times New Roman" w:cs="Times New Roman"/>
          <w:bCs/>
          <w:sz w:val="24"/>
        </w:rPr>
        <w:footnoteReference w:id="18"/>
      </w:r>
      <w:r>
        <w:rPr>
          <w:rFonts w:ascii="Times New Roman" w:hAnsi="Times New Roman" w:cs="Times New Roman"/>
          <w:bCs/>
          <w:sz w:val="24"/>
        </w:rPr>
        <w:t>, not intangible carbon reduction agreements with no stated basis in statue or the agency’s core principles. VCCs themselves are no</w:t>
      </w:r>
      <w:r w:rsidR="009A49CC">
        <w:rPr>
          <w:rFonts w:ascii="Times New Roman" w:hAnsi="Times New Roman" w:cs="Times New Roman"/>
          <w:bCs/>
          <w:sz w:val="24"/>
        </w:rPr>
        <w:t xml:space="preserve"> </w:t>
      </w:r>
      <w:r>
        <w:rPr>
          <w:rFonts w:ascii="Times New Roman" w:hAnsi="Times New Roman" w:cs="Times New Roman"/>
          <w:bCs/>
          <w:sz w:val="24"/>
        </w:rPr>
        <w:t xml:space="preserve">substitutes for the actual commodities being exchanged on the markets. The Commission must not misinterpret the meaning of carbon credits </w:t>
      </w:r>
      <w:r w:rsidR="000863B5">
        <w:rPr>
          <w:rFonts w:ascii="Times New Roman" w:hAnsi="Times New Roman" w:cs="Times New Roman"/>
          <w:bCs/>
          <w:sz w:val="24"/>
        </w:rPr>
        <w:t>as a means of validating</w:t>
      </w:r>
      <w:r>
        <w:rPr>
          <w:rFonts w:ascii="Times New Roman" w:hAnsi="Times New Roman" w:cs="Times New Roman"/>
          <w:bCs/>
          <w:sz w:val="24"/>
        </w:rPr>
        <w:t xml:space="preserve"> this market</w:t>
      </w:r>
      <w:r w:rsidR="000863B5">
        <w:rPr>
          <w:rFonts w:ascii="Times New Roman" w:hAnsi="Times New Roman" w:cs="Times New Roman"/>
          <w:bCs/>
          <w:sz w:val="24"/>
        </w:rPr>
        <w:t xml:space="preserve"> or to satisfy a political decarbonization agenda</w:t>
      </w:r>
      <w:r>
        <w:rPr>
          <w:rFonts w:ascii="Times New Roman" w:hAnsi="Times New Roman" w:cs="Times New Roman"/>
          <w:bCs/>
          <w:sz w:val="24"/>
        </w:rPr>
        <w:t>.</w:t>
      </w:r>
      <w:r w:rsidR="008C5D49">
        <w:rPr>
          <w:rFonts w:ascii="Times New Roman" w:hAnsi="Times New Roman" w:cs="Times New Roman"/>
          <w:bCs/>
          <w:sz w:val="24"/>
        </w:rPr>
        <w:t xml:space="preserve"> </w:t>
      </w:r>
    </w:p>
    <w:p w14:paraId="7EA46209" w14:textId="77777777" w:rsidR="00505A03" w:rsidRDefault="00505A03" w:rsidP="00505A03">
      <w:pPr>
        <w:rPr>
          <w:rFonts w:ascii="Times New Roman" w:hAnsi="Times New Roman" w:cs="Times New Roman"/>
          <w:b/>
          <w:bCs/>
          <w:sz w:val="24"/>
        </w:rPr>
      </w:pPr>
      <w:r>
        <w:rPr>
          <w:rFonts w:ascii="Times New Roman" w:hAnsi="Times New Roman" w:cs="Times New Roman"/>
          <w:b/>
          <w:bCs/>
          <w:sz w:val="24"/>
        </w:rPr>
        <w:t>Conclusion</w:t>
      </w:r>
    </w:p>
    <w:p w14:paraId="49C4075C" w14:textId="6952DA16" w:rsidR="000863B5" w:rsidRDefault="00505A03" w:rsidP="00505A03">
      <w:pPr>
        <w:rPr>
          <w:rFonts w:ascii="Times New Roman" w:hAnsi="Times New Roman" w:cs="Times New Roman"/>
          <w:bCs/>
          <w:sz w:val="24"/>
        </w:rPr>
      </w:pPr>
      <w:r>
        <w:rPr>
          <w:rFonts w:ascii="Times New Roman" w:hAnsi="Times New Roman" w:cs="Times New Roman"/>
          <w:bCs/>
          <w:sz w:val="24"/>
        </w:rPr>
        <w:lastRenderedPageBreak/>
        <w:t xml:space="preserve">The Commission should not pass this proposed guidance. I urge the Commissioners to leave the voluntary market for carbon credits as it has been for </w:t>
      </w:r>
      <w:r w:rsidR="009A49CC">
        <w:rPr>
          <w:rFonts w:ascii="Times New Roman" w:hAnsi="Times New Roman" w:cs="Times New Roman"/>
          <w:bCs/>
          <w:sz w:val="24"/>
        </w:rPr>
        <w:t xml:space="preserve">nearly </w:t>
      </w:r>
      <w:r>
        <w:rPr>
          <w:rFonts w:ascii="Times New Roman" w:hAnsi="Times New Roman" w:cs="Times New Roman"/>
          <w:bCs/>
          <w:sz w:val="24"/>
        </w:rPr>
        <w:t>20 years:</w:t>
      </w:r>
      <w:r w:rsidR="000863B5">
        <w:rPr>
          <w:rFonts w:ascii="Times New Roman" w:hAnsi="Times New Roman" w:cs="Times New Roman"/>
          <w:bCs/>
          <w:sz w:val="24"/>
        </w:rPr>
        <w:t xml:space="preserve"> untouched</w:t>
      </w:r>
      <w:r>
        <w:rPr>
          <w:rFonts w:ascii="Times New Roman" w:hAnsi="Times New Roman" w:cs="Times New Roman"/>
          <w:bCs/>
          <w:sz w:val="24"/>
        </w:rPr>
        <w:t>. Such markets were designed to be self-regulated by the investors and companies that opt to participate. The provisional agreements within VCCs are separate from the actual derivatives</w:t>
      </w:r>
      <w:r w:rsidR="000863B5">
        <w:rPr>
          <w:rFonts w:ascii="Times New Roman" w:hAnsi="Times New Roman" w:cs="Times New Roman"/>
          <w:bCs/>
          <w:sz w:val="24"/>
        </w:rPr>
        <w:t xml:space="preserve"> being regulated</w:t>
      </w:r>
      <w:r>
        <w:rPr>
          <w:rFonts w:ascii="Times New Roman" w:hAnsi="Times New Roman" w:cs="Times New Roman"/>
          <w:bCs/>
          <w:sz w:val="24"/>
        </w:rPr>
        <w:t xml:space="preserve">. Intangible VCCs are not actual commodities and </w:t>
      </w:r>
      <w:r w:rsidR="00105A5A">
        <w:rPr>
          <w:rFonts w:ascii="Times New Roman" w:hAnsi="Times New Roman" w:cs="Times New Roman"/>
          <w:bCs/>
          <w:sz w:val="24"/>
        </w:rPr>
        <w:t>shouldn’t be confused as</w:t>
      </w:r>
      <w:r>
        <w:rPr>
          <w:rFonts w:ascii="Times New Roman" w:hAnsi="Times New Roman" w:cs="Times New Roman"/>
          <w:bCs/>
          <w:sz w:val="24"/>
        </w:rPr>
        <w:t xml:space="preserve"> an </w:t>
      </w:r>
      <w:r w:rsidR="001279F8">
        <w:rPr>
          <w:rFonts w:ascii="Times New Roman" w:hAnsi="Times New Roman" w:cs="Times New Roman"/>
          <w:bCs/>
          <w:sz w:val="24"/>
        </w:rPr>
        <w:t xml:space="preserve">official </w:t>
      </w:r>
      <w:r>
        <w:rPr>
          <w:rFonts w:ascii="Times New Roman" w:hAnsi="Times New Roman" w:cs="Times New Roman"/>
          <w:bCs/>
          <w:sz w:val="24"/>
        </w:rPr>
        <w:t xml:space="preserve">asset class that </w:t>
      </w:r>
      <w:r w:rsidR="000863B5">
        <w:rPr>
          <w:rFonts w:ascii="Times New Roman" w:hAnsi="Times New Roman" w:cs="Times New Roman"/>
          <w:bCs/>
          <w:sz w:val="24"/>
        </w:rPr>
        <w:t>is</w:t>
      </w:r>
      <w:r>
        <w:rPr>
          <w:rFonts w:ascii="Times New Roman" w:hAnsi="Times New Roman" w:cs="Times New Roman"/>
          <w:bCs/>
          <w:sz w:val="24"/>
        </w:rPr>
        <w:t xml:space="preserve"> covered under the Commission’s core principles or the CEA. Attempting to do so would be a misinterpretation by the Commission regarding the laws that govern commodities trading. The CFTC is not statutorily permitted to issue guidance on the trade of VCCs. It cannot misapply its core principles or CEA provisions affecting DCMs </w:t>
      </w:r>
      <w:r w:rsidR="000863B5">
        <w:rPr>
          <w:rFonts w:ascii="Times New Roman" w:hAnsi="Times New Roman" w:cs="Times New Roman"/>
          <w:bCs/>
          <w:sz w:val="24"/>
        </w:rPr>
        <w:t xml:space="preserve">in </w:t>
      </w:r>
      <w:r>
        <w:rPr>
          <w:rFonts w:ascii="Times New Roman" w:hAnsi="Times New Roman" w:cs="Times New Roman"/>
          <w:bCs/>
          <w:sz w:val="24"/>
        </w:rPr>
        <w:t xml:space="preserve">an effort to </w:t>
      </w:r>
      <w:r w:rsidR="000863B5">
        <w:rPr>
          <w:rFonts w:ascii="Times New Roman" w:hAnsi="Times New Roman" w:cs="Times New Roman"/>
          <w:bCs/>
          <w:sz w:val="24"/>
        </w:rPr>
        <w:t xml:space="preserve">artificially </w:t>
      </w:r>
      <w:r>
        <w:rPr>
          <w:rFonts w:ascii="Times New Roman" w:hAnsi="Times New Roman" w:cs="Times New Roman"/>
          <w:bCs/>
          <w:sz w:val="24"/>
        </w:rPr>
        <w:t xml:space="preserve">validate VCC trading. </w:t>
      </w:r>
    </w:p>
    <w:p w14:paraId="0351F6FF" w14:textId="1987625E" w:rsidR="00505A03" w:rsidRDefault="00505A03" w:rsidP="00505A03">
      <w:pPr>
        <w:rPr>
          <w:rFonts w:ascii="Times New Roman" w:hAnsi="Times New Roman" w:cs="Times New Roman"/>
          <w:bCs/>
          <w:sz w:val="24"/>
        </w:rPr>
      </w:pPr>
      <w:r>
        <w:rPr>
          <w:rFonts w:ascii="Times New Roman" w:hAnsi="Times New Roman" w:cs="Times New Roman"/>
          <w:bCs/>
          <w:sz w:val="24"/>
        </w:rPr>
        <w:t xml:space="preserve">Investors are free to trade with carbon credits at their own risk, which is separate from the established regulatory standards governing the trade of actual derivatives on DCMs. The Commission must not abandon its </w:t>
      </w:r>
      <w:r w:rsidR="000863B5">
        <w:rPr>
          <w:rFonts w:ascii="Times New Roman" w:hAnsi="Times New Roman" w:cs="Times New Roman"/>
          <w:bCs/>
          <w:sz w:val="24"/>
        </w:rPr>
        <w:t xml:space="preserve">statutorily-backed </w:t>
      </w:r>
      <w:r>
        <w:rPr>
          <w:rFonts w:ascii="Times New Roman" w:hAnsi="Times New Roman" w:cs="Times New Roman"/>
          <w:bCs/>
          <w:sz w:val="24"/>
        </w:rPr>
        <w:t xml:space="preserve">core mission </w:t>
      </w:r>
      <w:r w:rsidR="000863B5">
        <w:rPr>
          <w:rFonts w:ascii="Times New Roman" w:hAnsi="Times New Roman" w:cs="Times New Roman"/>
          <w:bCs/>
          <w:sz w:val="24"/>
        </w:rPr>
        <w:t>in pursuit of a</w:t>
      </w:r>
      <w:r>
        <w:rPr>
          <w:rFonts w:ascii="Times New Roman" w:hAnsi="Times New Roman" w:cs="Times New Roman"/>
          <w:bCs/>
          <w:sz w:val="24"/>
        </w:rPr>
        <w:t xml:space="preserve"> new mission by helping to “</w:t>
      </w:r>
      <w:r w:rsidRPr="00A90CBF">
        <w:rPr>
          <w:rFonts w:ascii="Times New Roman" w:hAnsi="Times New Roman" w:cs="Times New Roman"/>
          <w:bCs/>
          <w:sz w:val="24"/>
        </w:rPr>
        <w:t>channel capital to support decarbonization</w:t>
      </w:r>
      <w:r>
        <w:rPr>
          <w:rFonts w:ascii="Times New Roman" w:hAnsi="Times New Roman" w:cs="Times New Roman"/>
          <w:bCs/>
          <w:sz w:val="24"/>
        </w:rPr>
        <w:t>.” Doing so would in fact establish the CFTC as an unsanctioned climate regulator, which is something that Chair Benham has promised would never happen under his watch. The Commission must honor this promise, its core mission, and the will of Congress by not adopting this proposed guidance.</w:t>
      </w:r>
    </w:p>
    <w:p w14:paraId="7A7D54B2" w14:textId="77777777" w:rsidR="00505A03" w:rsidRPr="001A00DF" w:rsidRDefault="00505A03" w:rsidP="00505A03">
      <w:pPr>
        <w:rPr>
          <w:rFonts w:ascii="Times New Roman" w:hAnsi="Times New Roman" w:cs="Times New Roman"/>
          <w:bCs/>
          <w:sz w:val="24"/>
        </w:rPr>
      </w:pPr>
      <w:r w:rsidRPr="001A00DF">
        <w:rPr>
          <w:rFonts w:ascii="Times New Roman" w:hAnsi="Times New Roman" w:cs="Times New Roman"/>
          <w:bCs/>
          <w:sz w:val="24"/>
        </w:rPr>
        <w:t>Thank you for the opportunity to comment on this matter.</w:t>
      </w:r>
    </w:p>
    <w:p w14:paraId="4B1DD304" w14:textId="77777777" w:rsidR="00F25171" w:rsidRDefault="00F25171" w:rsidP="00505A03">
      <w:pPr>
        <w:rPr>
          <w:rFonts w:ascii="Times New Roman" w:hAnsi="Times New Roman" w:cs="Times New Roman"/>
          <w:bCs/>
          <w:sz w:val="24"/>
        </w:rPr>
      </w:pPr>
    </w:p>
    <w:p w14:paraId="35273C7C" w14:textId="2AEC6CFC" w:rsidR="00505A03" w:rsidRPr="001A00DF" w:rsidRDefault="00505A03" w:rsidP="00505A03">
      <w:pPr>
        <w:rPr>
          <w:rFonts w:ascii="Times New Roman" w:hAnsi="Times New Roman" w:cs="Times New Roman"/>
          <w:bCs/>
          <w:sz w:val="24"/>
        </w:rPr>
      </w:pPr>
      <w:r w:rsidRPr="001A00DF">
        <w:rPr>
          <w:rFonts w:ascii="Times New Roman" w:hAnsi="Times New Roman" w:cs="Times New Roman"/>
          <w:bCs/>
          <w:sz w:val="24"/>
        </w:rPr>
        <w:t>Sincerely, Stone Allen Washington</w:t>
      </w:r>
    </w:p>
    <w:p w14:paraId="3D48295A" w14:textId="77777777" w:rsidR="00505A03" w:rsidRPr="001A00DF" w:rsidRDefault="00505A03" w:rsidP="00505A03">
      <w:pPr>
        <w:rPr>
          <w:rFonts w:ascii="Times New Roman" w:hAnsi="Times New Roman" w:cs="Times New Roman"/>
          <w:bCs/>
          <w:sz w:val="24"/>
        </w:rPr>
      </w:pPr>
      <w:r w:rsidRPr="001A00DF">
        <w:rPr>
          <w:rFonts w:ascii="Times New Roman" w:hAnsi="Times New Roman" w:cs="Times New Roman"/>
          <w:bCs/>
          <w:sz w:val="24"/>
        </w:rPr>
        <w:t>Research Fellow, Center for Advancing Capitalism</w:t>
      </w:r>
    </w:p>
    <w:p w14:paraId="14674667" w14:textId="77777777" w:rsidR="00505A03" w:rsidRPr="001A00DF" w:rsidRDefault="00505A03" w:rsidP="00505A03">
      <w:pPr>
        <w:rPr>
          <w:rFonts w:ascii="Times New Roman" w:hAnsi="Times New Roman" w:cs="Times New Roman"/>
          <w:bCs/>
          <w:sz w:val="24"/>
        </w:rPr>
      </w:pPr>
      <w:r w:rsidRPr="001A00DF">
        <w:rPr>
          <w:rFonts w:ascii="Times New Roman" w:hAnsi="Times New Roman" w:cs="Times New Roman"/>
          <w:bCs/>
          <w:sz w:val="24"/>
        </w:rPr>
        <w:t>Competitive Enterprise Institute </w:t>
      </w:r>
      <w:hyperlink r:id="rId8" w:history="1">
        <w:r w:rsidRPr="001A00DF">
          <w:rPr>
            <w:rStyle w:val="Hyperlink"/>
            <w:rFonts w:ascii="Times New Roman" w:hAnsi="Times New Roman" w:cs="Times New Roman"/>
            <w:bCs/>
            <w:sz w:val="24"/>
          </w:rPr>
          <w:t>stone.washington@cei.org</w:t>
        </w:r>
      </w:hyperlink>
      <w:r w:rsidRPr="001A00DF">
        <w:rPr>
          <w:rFonts w:ascii="Times New Roman" w:hAnsi="Times New Roman" w:cs="Times New Roman"/>
          <w:bCs/>
          <w:sz w:val="24"/>
        </w:rPr>
        <w:t> </w:t>
      </w:r>
    </w:p>
    <w:p w14:paraId="590495B0" w14:textId="77777777" w:rsidR="00505A03" w:rsidRPr="0061337C" w:rsidRDefault="00505A03" w:rsidP="00505A03">
      <w:pPr>
        <w:rPr>
          <w:rFonts w:ascii="Times New Roman" w:hAnsi="Times New Roman" w:cs="Times New Roman"/>
          <w:bCs/>
          <w:sz w:val="24"/>
        </w:rPr>
      </w:pPr>
    </w:p>
    <w:p w14:paraId="1FEF6A97" w14:textId="77777777" w:rsidR="00505A03" w:rsidRPr="005D0F46" w:rsidRDefault="00505A03" w:rsidP="00505A03">
      <w:pPr>
        <w:rPr>
          <w:rFonts w:ascii="Times New Roman" w:hAnsi="Times New Roman" w:cs="Times New Roman"/>
          <w:bCs/>
          <w:sz w:val="24"/>
        </w:rPr>
      </w:pPr>
    </w:p>
    <w:p w14:paraId="3ED8DAAD" w14:textId="77777777" w:rsidR="00505A03" w:rsidRPr="00361659" w:rsidRDefault="00505A03" w:rsidP="00505A03">
      <w:pPr>
        <w:rPr>
          <w:rFonts w:ascii="Times New Roman" w:hAnsi="Times New Roman" w:cs="Times New Roman"/>
          <w:bCs/>
          <w:sz w:val="24"/>
        </w:rPr>
      </w:pPr>
    </w:p>
    <w:p w14:paraId="204A050D" w14:textId="77777777" w:rsidR="00505A03" w:rsidRDefault="00505A03" w:rsidP="00505A03">
      <w:pPr>
        <w:rPr>
          <w:rFonts w:ascii="Times New Roman" w:hAnsi="Times New Roman" w:cs="Times New Roman"/>
          <w:sz w:val="24"/>
        </w:rPr>
      </w:pPr>
    </w:p>
    <w:p w14:paraId="52B09445" w14:textId="77777777" w:rsidR="00505A03" w:rsidRPr="0046487C" w:rsidRDefault="00505A03" w:rsidP="00505A03">
      <w:pPr>
        <w:rPr>
          <w:rFonts w:ascii="Times New Roman" w:hAnsi="Times New Roman" w:cs="Times New Roman"/>
          <w:sz w:val="24"/>
        </w:rPr>
      </w:pPr>
    </w:p>
    <w:p w14:paraId="5B34FF05" w14:textId="77777777" w:rsidR="00505A03" w:rsidRPr="0046487C" w:rsidRDefault="00505A03" w:rsidP="00505A03">
      <w:pPr>
        <w:rPr>
          <w:rFonts w:ascii="Times New Roman" w:hAnsi="Times New Roman" w:cs="Times New Roman"/>
          <w:sz w:val="24"/>
        </w:rPr>
      </w:pPr>
    </w:p>
    <w:p w14:paraId="6C6F1211" w14:textId="4610F1A6" w:rsidR="00800667" w:rsidRPr="009E1A39" w:rsidRDefault="00800667" w:rsidP="00800667">
      <w:pPr>
        <w:spacing w:after="0"/>
        <w:rPr>
          <w:rFonts w:ascii="Times New Roman" w:hAnsi="Times New Roman" w:cs="Times New Roman"/>
        </w:rPr>
      </w:pPr>
    </w:p>
    <w:sectPr w:rsidR="00800667" w:rsidRPr="009E1A39" w:rsidSect="009436C1">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E15A" w14:textId="77777777" w:rsidR="009436C1" w:rsidRDefault="009436C1" w:rsidP="00CC038E">
      <w:pPr>
        <w:spacing w:after="0" w:line="240" w:lineRule="auto"/>
      </w:pPr>
      <w:r>
        <w:separator/>
      </w:r>
    </w:p>
  </w:endnote>
  <w:endnote w:type="continuationSeparator" w:id="0">
    <w:p w14:paraId="51E0A6EC" w14:textId="77777777" w:rsidR="009436C1" w:rsidRDefault="009436C1" w:rsidP="00C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5462"/>
      <w:docPartObj>
        <w:docPartGallery w:val="Page Numbers (Bottom of Page)"/>
        <w:docPartUnique/>
      </w:docPartObj>
    </w:sdtPr>
    <w:sdtEndPr>
      <w:rPr>
        <w:noProof/>
      </w:rPr>
    </w:sdtEndPr>
    <w:sdtContent>
      <w:p w14:paraId="22E66693" w14:textId="77777777" w:rsidR="008808D0" w:rsidRDefault="008808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F9D0E4" w14:textId="77777777" w:rsidR="008808D0" w:rsidRDefault="0088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204317"/>
      <w:docPartObj>
        <w:docPartGallery w:val="Page Numbers (Bottom of Page)"/>
        <w:docPartUnique/>
      </w:docPartObj>
    </w:sdtPr>
    <w:sdtEndPr>
      <w:rPr>
        <w:noProof/>
      </w:rPr>
    </w:sdtEndPr>
    <w:sdtContent>
      <w:p w14:paraId="3834870D" w14:textId="41663B7F" w:rsidR="008808D0" w:rsidRDefault="008808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C0910" w14:textId="77777777" w:rsidR="008808D0" w:rsidRDefault="00880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521B" w14:textId="77777777" w:rsidR="009436C1" w:rsidRDefault="009436C1" w:rsidP="00CC038E">
      <w:pPr>
        <w:spacing w:after="0" w:line="240" w:lineRule="auto"/>
      </w:pPr>
      <w:r>
        <w:separator/>
      </w:r>
    </w:p>
  </w:footnote>
  <w:footnote w:type="continuationSeparator" w:id="0">
    <w:p w14:paraId="7D0601AB" w14:textId="77777777" w:rsidR="009436C1" w:rsidRDefault="009436C1" w:rsidP="00CC038E">
      <w:pPr>
        <w:spacing w:after="0" w:line="240" w:lineRule="auto"/>
      </w:pPr>
      <w:r>
        <w:continuationSeparator/>
      </w:r>
    </w:p>
  </w:footnote>
  <w:footnote w:id="1">
    <w:p w14:paraId="1B28487F" w14:textId="77777777" w:rsidR="00505A03" w:rsidRDefault="00505A03" w:rsidP="00505A03">
      <w:pPr>
        <w:pStyle w:val="FootnoteText"/>
      </w:pPr>
      <w:r>
        <w:rPr>
          <w:rStyle w:val="FootnoteReference"/>
        </w:rPr>
        <w:footnoteRef/>
      </w:r>
      <w:r>
        <w:t xml:space="preserve"> Halley I. Townsend and Alexander S. Holtan, “</w:t>
      </w:r>
      <w:r w:rsidRPr="00967907">
        <w:t>CFTC Moves to Set Voluntary Carbon Market Standards</w:t>
      </w:r>
      <w:r>
        <w:t xml:space="preserve">”, Holland &amp; Knight, December 13, 2023, </w:t>
      </w:r>
      <w:hyperlink r:id="rId1" w:history="1">
        <w:r w:rsidRPr="00F5768B">
          <w:rPr>
            <w:rStyle w:val="Hyperlink"/>
          </w:rPr>
          <w:t>https://www.hklaw.com/en/insights/publications/2023/12/cftc-moves-to-set-voluntary-carbon-market-standards</w:t>
        </w:r>
      </w:hyperlink>
      <w:r>
        <w:t>. See the following, “</w:t>
      </w:r>
      <w:r w:rsidRPr="00967907">
        <w:t>The CFTC does not have the statutory authority to directly impose standards on the VCC market.</w:t>
      </w:r>
      <w:r>
        <w:t xml:space="preserve">” </w:t>
      </w:r>
    </w:p>
  </w:footnote>
  <w:footnote w:id="2">
    <w:p w14:paraId="7371F644" w14:textId="77777777" w:rsidR="00505A03" w:rsidRDefault="00505A03" w:rsidP="00505A03">
      <w:pPr>
        <w:pStyle w:val="FootnoteText"/>
      </w:pPr>
      <w:r>
        <w:rPr>
          <w:rStyle w:val="FootnoteReference"/>
        </w:rPr>
        <w:footnoteRef/>
      </w:r>
      <w:r>
        <w:t xml:space="preserve"> Commodity Exchange Act of 1936, </w:t>
      </w:r>
      <w:r w:rsidRPr="00823256">
        <w:t>7 U.S. Code</w:t>
      </w:r>
      <w:r>
        <w:t xml:space="preserve"> Chapter 1, </w:t>
      </w:r>
      <w:hyperlink r:id="rId2" w:history="1">
        <w:r w:rsidRPr="00B36A38">
          <w:rPr>
            <w:rStyle w:val="Hyperlink"/>
          </w:rPr>
          <w:t>https://www.law.cornell.edu/uscode/text/7/chapter-1</w:t>
        </w:r>
      </w:hyperlink>
      <w:r>
        <w:t>. Given that, by themselves, carbon credit derivatives do not generate any actual financial value for the underlying assets they represent, the CFTC cannot treat these like traditional derivative contracts.</w:t>
      </w:r>
    </w:p>
  </w:footnote>
  <w:footnote w:id="3">
    <w:p w14:paraId="76018F80" w14:textId="77777777" w:rsidR="00505A03" w:rsidRDefault="00505A03" w:rsidP="00505A03">
      <w:pPr>
        <w:pStyle w:val="FootnoteText"/>
      </w:pPr>
      <w:r>
        <w:rPr>
          <w:rStyle w:val="FootnoteReference"/>
        </w:rPr>
        <w:footnoteRef/>
      </w:r>
      <w:r>
        <w:t xml:space="preserve"> See the legal definition for “derivatives”, “</w:t>
      </w:r>
      <w:r w:rsidRPr="00A3709A">
        <w:t>means a financial contract that derives its value from the value and performance of some other underlying financial instrument or variable, such as an index or interest rate.</w:t>
      </w:r>
      <w:r>
        <w:t xml:space="preserve">” </w:t>
      </w:r>
      <w:r w:rsidRPr="00A3709A">
        <w:t xml:space="preserve">12 CFR § 703.102 </w:t>
      </w:r>
      <w:r>
        <w:t>–</w:t>
      </w:r>
      <w:r w:rsidRPr="00A3709A">
        <w:t xml:space="preserve"> Definitions</w:t>
      </w:r>
      <w:r>
        <w:t xml:space="preserve">. </w:t>
      </w:r>
      <w:hyperlink r:id="rId3" w:anchor=":~:text=Derivative%20means%20a%20financial%20contract,CFTC)%20in%2017%20CFR%201.3" w:history="1">
        <w:r w:rsidRPr="00B36A38">
          <w:rPr>
            <w:rStyle w:val="Hyperlink"/>
          </w:rPr>
          <w:t>https://www.law.cornell.edu/cfr/text/12/703.102#:~:text=Derivative%20means%20a%20financial%20contract,CFTC)%20in%2017%20CFR%201.3</w:t>
        </w:r>
      </w:hyperlink>
      <w:r w:rsidRPr="00A3709A">
        <w:t>.</w:t>
      </w:r>
      <w:r>
        <w:t xml:space="preserve"> </w:t>
      </w:r>
    </w:p>
  </w:footnote>
  <w:footnote w:id="4">
    <w:p w14:paraId="34EB2AFF" w14:textId="77777777" w:rsidR="00505A03" w:rsidRDefault="00505A03" w:rsidP="00505A03">
      <w:pPr>
        <w:pStyle w:val="FootnoteText"/>
      </w:pPr>
      <w:r>
        <w:rPr>
          <w:rStyle w:val="FootnoteReference"/>
        </w:rPr>
        <w:footnoteRef/>
      </w:r>
      <w:r>
        <w:t xml:space="preserve"> </w:t>
      </w:r>
      <w:r w:rsidRPr="00C72BFB">
        <w:t>Section 1</w:t>
      </w:r>
      <w:proofErr w:type="gramStart"/>
      <w:r w:rsidRPr="00C72BFB">
        <w:t>a(</w:t>
      </w:r>
      <w:proofErr w:type="gramEnd"/>
      <w:r w:rsidRPr="00C72BFB">
        <w:t>9) of the Commodity Exchange Act, 7 USC 1a(9)</w:t>
      </w:r>
      <w:r>
        <w:t>. The term “commodity” does not encompass carbon credits or the emissions from actual commodities. Rather, it pertains to, “</w:t>
      </w:r>
      <w:r w:rsidRPr="00C72BFB">
        <w:t>wheat, cotton, rice, corn, oats, barley, rye, flaxseed, grain sorghums, mill feeds, butter, eggs, Solanum tuberosum (Irish potatoes), wool, wool tops, fats and oils (including lard, tallow, cottonseed oil, peanut oil, soybean oil, and all other fats and oils), cottonseed meal, cottonseed, peanuts, soybeans, soybean meal, livestock, livestock products, and frozen concentrated orange juice, and all other goods and articles, except onions (as provided by section 13–1 of this title)</w:t>
      </w:r>
      <w:r>
        <w:t>.”</w:t>
      </w:r>
      <w:r w:rsidRPr="00C72BFB">
        <w:t> </w:t>
      </w:r>
    </w:p>
  </w:footnote>
  <w:footnote w:id="5">
    <w:p w14:paraId="3CDD381A" w14:textId="77777777" w:rsidR="00505A03" w:rsidRDefault="00505A03" w:rsidP="00505A03">
      <w:pPr>
        <w:pStyle w:val="FootnoteText"/>
      </w:pPr>
      <w:r>
        <w:rPr>
          <w:rStyle w:val="FootnoteReference"/>
        </w:rPr>
        <w:footnoteRef/>
      </w:r>
      <w:r>
        <w:t xml:space="preserve"> Commodity Futures Trading Commission, “CFTC Mission Statement”, </w:t>
      </w:r>
      <w:hyperlink r:id="rId4" w:history="1">
        <w:r w:rsidRPr="00B36A38">
          <w:rPr>
            <w:rStyle w:val="Hyperlink"/>
          </w:rPr>
          <w:t>https://www.cftc.gov/About/AboutTheCommission</w:t>
        </w:r>
      </w:hyperlink>
      <w:r>
        <w:t xml:space="preserve"> </w:t>
      </w:r>
    </w:p>
  </w:footnote>
  <w:footnote w:id="6">
    <w:p w14:paraId="497A5173" w14:textId="7933AB2C" w:rsidR="00564421" w:rsidRDefault="00564421">
      <w:pPr>
        <w:pStyle w:val="FootnoteText"/>
      </w:pPr>
      <w:r>
        <w:rPr>
          <w:rStyle w:val="FootnoteReference"/>
        </w:rPr>
        <w:footnoteRef/>
      </w:r>
      <w:r>
        <w:t xml:space="preserve"> David R. Burton, public comment in “</w:t>
      </w:r>
      <w:r w:rsidR="00FF4394">
        <w:t xml:space="preserve">Request for Information on Climate-Related Financial Risk”, Commodity Futures Trading Commission, August 8, 2022, </w:t>
      </w:r>
      <w:hyperlink r:id="rId5" w:history="1">
        <w:r w:rsidR="00FF4394" w:rsidRPr="001476BC">
          <w:rPr>
            <w:rStyle w:val="Hyperlink"/>
          </w:rPr>
          <w:t>https://thf_media.s3.amazonaws.com/2022/Regulatory_Comments/Comment%20Letter%20of%20David%20R%20Burton%20re%20CFTC%20Request%20for%20Information%20on%20Climate-Related%20Financial%20Risk%20080822.pdf</w:t>
        </w:r>
      </w:hyperlink>
      <w:r w:rsidR="00FF4394">
        <w:t xml:space="preserve">. See the following, “the CFTC does not have the authority to impose regulations that have as their objective environmental regulation and the mitigation of climate change. The generalized instruction in the Commission’s statutory charge to act in the ‘public interest’ does not </w:t>
      </w:r>
      <w:proofErr w:type="gramStart"/>
      <w:r w:rsidR="00FF4394">
        <w:t>given</w:t>
      </w:r>
      <w:proofErr w:type="gramEnd"/>
      <w:r w:rsidR="00FF4394">
        <w:t xml:space="preserve"> it authority to whatever it wants.” </w:t>
      </w:r>
    </w:p>
  </w:footnote>
  <w:footnote w:id="7">
    <w:p w14:paraId="0DBE1185" w14:textId="77777777" w:rsidR="00505A03" w:rsidRPr="0000686E" w:rsidRDefault="00505A03" w:rsidP="00505A03">
      <w:pPr>
        <w:pStyle w:val="FootnoteText"/>
      </w:pPr>
      <w:r>
        <w:rPr>
          <w:rStyle w:val="FootnoteReference"/>
        </w:rPr>
        <w:footnoteRef/>
      </w:r>
      <w:r>
        <w:t xml:space="preserve"> Commodity Futures Trading Commission, “</w:t>
      </w:r>
      <w:r w:rsidRPr="0000686E">
        <w:t>Commission Guidance Regarding the Listing of Voluntary Carbon Credit Derivative Contracts; Request for Comment</w:t>
      </w:r>
      <w:r>
        <w:t xml:space="preserve">”, notice of proposed guidance, </w:t>
      </w:r>
      <w:r>
        <w:rPr>
          <w:i/>
        </w:rPr>
        <w:t xml:space="preserve">Federal Register, </w:t>
      </w:r>
      <w:r>
        <w:t>(December 27, 2023), pp. 89411-89428. See pg. 89422.</w:t>
      </w:r>
    </w:p>
  </w:footnote>
  <w:footnote w:id="8">
    <w:p w14:paraId="71B0B7B8" w14:textId="4A3FBE9C" w:rsidR="00FF7D98" w:rsidRDefault="00FF7D98">
      <w:pPr>
        <w:pStyle w:val="FootnoteText"/>
      </w:pPr>
      <w:r>
        <w:rPr>
          <w:rStyle w:val="FootnoteReference"/>
        </w:rPr>
        <w:footnoteRef/>
      </w:r>
      <w:r>
        <w:t xml:space="preserve"> </w:t>
      </w:r>
      <w:r w:rsidR="00A25B08">
        <w:t>Commodity Futures Trading Commission, “</w:t>
      </w:r>
      <w:r w:rsidR="00A25B08" w:rsidRPr="0000686E">
        <w:t>Commission Guidance Regarding the Listing of Voluntary Carbon Credit Derivative Contracts</w:t>
      </w:r>
      <w:r w:rsidR="00A25B08">
        <w:t>, see pg. 89422.</w:t>
      </w:r>
    </w:p>
  </w:footnote>
  <w:footnote w:id="9">
    <w:p w14:paraId="506D0CD8" w14:textId="754126A4" w:rsidR="00987C65" w:rsidRDefault="00987C65">
      <w:pPr>
        <w:pStyle w:val="FootnoteText"/>
      </w:pPr>
      <w:r>
        <w:rPr>
          <w:rStyle w:val="FootnoteReference"/>
        </w:rPr>
        <w:footnoteRef/>
      </w:r>
      <w:r>
        <w:t xml:space="preserve"> Burton, “Request for Information on Climate-Related Financial Risk”. See the following passage, “According to the Bank of International Settlements, only 8 percent of credit default swaps have a maturity of over five years. According to OCC data, only 12 percent of interest rate, FX, and gold derivatives held by banks were over five years in maturity. Thus, the CFTC regulated entities appear to face vastly less climate-related risk than securities issuers or banks extending loans.”</w:t>
      </w:r>
    </w:p>
  </w:footnote>
  <w:footnote w:id="10">
    <w:p w14:paraId="68B24D93" w14:textId="7FA52BAA" w:rsidR="00CA1731" w:rsidRDefault="00CA1731">
      <w:pPr>
        <w:pStyle w:val="FootnoteText"/>
      </w:pPr>
      <w:r>
        <w:rPr>
          <w:rStyle w:val="FootnoteReference"/>
        </w:rPr>
        <w:footnoteRef/>
      </w:r>
      <w:r>
        <w:t xml:space="preserve"> See footnote 51, </w:t>
      </w:r>
      <w:r w:rsidRPr="00742D7F">
        <w:t>Commodity Futures Trading Commission, “Commission Guidance Regarding the Listing of Voluntary Carbon Credit Derivative Contracts; Request for Comment</w:t>
      </w:r>
      <w:r>
        <w:t>”</w:t>
      </w:r>
      <w:r>
        <w:t>.</w:t>
      </w:r>
    </w:p>
  </w:footnote>
  <w:footnote w:id="11">
    <w:p w14:paraId="4FB2C726" w14:textId="77777777" w:rsidR="00505A03" w:rsidRDefault="00505A03" w:rsidP="00505A03">
      <w:pPr>
        <w:pStyle w:val="FootnoteText"/>
      </w:pPr>
      <w:r>
        <w:rPr>
          <w:rStyle w:val="FootnoteReference"/>
        </w:rPr>
        <w:footnoteRef/>
      </w:r>
      <w:r>
        <w:t xml:space="preserve"> </w:t>
      </w:r>
      <w:r w:rsidRPr="00742D7F">
        <w:t>Commodity Futures Trading Commission, “Commission Guidance Regarding the Listing of Voluntary Carbon Credit Derivative Contracts; Request for Comment</w:t>
      </w:r>
      <w:r>
        <w:t xml:space="preserve">”, pg. 89413. See also, Transcript of Commission's Second Voluntary Carbon Markets Convening (July 19, 2023), Kyle Harrison, stating, “Because you have an oversupply, you have a surplus of cheaper credits and companies can go ahead and use those in many cases as a band-aid solution, as opposed to de-carbonizing and reducing their gross emissions,” </w:t>
      </w:r>
      <w:r>
        <w:rPr>
          <w:rStyle w:val="Emphasis"/>
        </w:rPr>
        <w:t xml:space="preserve">available at: </w:t>
      </w:r>
      <w:hyperlink r:id="rId6" w:tgtFrame="_blank" w:history="1">
        <w:r>
          <w:rPr>
            <w:rStyle w:val="Hyperlink"/>
            <w:i/>
            <w:iCs/>
          </w:rPr>
          <w:t>https://www.cftc.gov/​sites/​default/​files/​2023/​11/​1700165549/​SVCMC_​transcript071923.pdf</w:t>
        </w:r>
      </w:hyperlink>
      <w:r>
        <w:rPr>
          <w:rStyle w:val="Emphasis"/>
        </w:rPr>
        <w:t>.</w:t>
      </w:r>
    </w:p>
  </w:footnote>
  <w:footnote w:id="12">
    <w:p w14:paraId="188EE09D" w14:textId="77777777" w:rsidR="00505A03" w:rsidRDefault="00505A03" w:rsidP="00505A03">
      <w:pPr>
        <w:pStyle w:val="FootnoteText"/>
      </w:pPr>
      <w:r>
        <w:rPr>
          <w:rStyle w:val="FootnoteReference"/>
        </w:rPr>
        <w:footnoteRef/>
      </w:r>
      <w:r>
        <w:t xml:space="preserve"> Levi McAlister, Pamela T. Wu, Sarah V. Riddell, “</w:t>
      </w:r>
      <w:r w:rsidRPr="000E19CA">
        <w:t>C</w:t>
      </w:r>
      <w:r>
        <w:t xml:space="preserve">FTC </w:t>
      </w:r>
      <w:r w:rsidRPr="000E19CA">
        <w:t>To Exercise Its Jurisdictional Hook: Regulating Voluntary Carbon Markets Via Futures Exchanges Oversight</w:t>
      </w:r>
      <w:r>
        <w:t xml:space="preserve">”, Morgan Lewis, December 8, 2023, </w:t>
      </w:r>
      <w:hyperlink r:id="rId7" w:history="1">
        <w:r w:rsidRPr="00F5768B">
          <w:rPr>
            <w:rStyle w:val="Hyperlink"/>
          </w:rPr>
          <w:t>https://www.morganlewis.com/pubs/2023/12/cftc-to-exercise-its-jurisdictional-hook-regulating-voluntary-carbon-markets-via-futures-exchanges-oversight</w:t>
        </w:r>
      </w:hyperlink>
      <w:r>
        <w:t>. See the following statement, “</w:t>
      </w:r>
      <w:r w:rsidRPr="000E19CA">
        <w:t>Currently, NYMEX is the only US exchange that offers futures contracts on voluntary carbon credits with open interest,</w:t>
      </w:r>
      <w:r>
        <w:t xml:space="preserve">”.  </w:t>
      </w:r>
    </w:p>
  </w:footnote>
  <w:footnote w:id="13">
    <w:p w14:paraId="3C4B986A" w14:textId="77777777" w:rsidR="00505A03" w:rsidRDefault="00505A03" w:rsidP="00505A03">
      <w:pPr>
        <w:pStyle w:val="FootnoteText"/>
      </w:pPr>
      <w:r>
        <w:rPr>
          <w:rStyle w:val="FootnoteReference"/>
        </w:rPr>
        <w:footnoteRef/>
      </w:r>
      <w:r>
        <w:t xml:space="preserve"> </w:t>
      </w:r>
      <w:r w:rsidRPr="00D44DA3">
        <w:t xml:space="preserve">Allegra Dawes, Cy McGeady, and Joseph </w:t>
      </w:r>
      <w:proofErr w:type="spellStart"/>
      <w:r w:rsidRPr="00D44DA3">
        <w:t>Majkut</w:t>
      </w:r>
      <w:proofErr w:type="spellEnd"/>
      <w:r w:rsidRPr="00D44DA3">
        <w:t xml:space="preserve">, </w:t>
      </w:r>
      <w:r w:rsidRPr="00D44DA3">
        <w:rPr>
          <w:i/>
        </w:rPr>
        <w:t>Voluntary Carbon Markets: A Review of Global Initiatives and Evolving Models</w:t>
      </w:r>
      <w:r w:rsidRPr="00D44DA3">
        <w:t xml:space="preserve"> (Washington D.C.: Center for Strategic and International Studies, May 31, 2023), pg. 8, “Though governments are not the only actors that can serve this function, they have unique legitimacy and regulatory authority, which can drive credit supply and trade infrastructure toward centralization in voluntary markets.”</w:t>
      </w:r>
      <w:r w:rsidRPr="00D44DA3">
        <w:rPr>
          <w:sz w:val="22"/>
          <w:szCs w:val="22"/>
        </w:rPr>
        <w:t xml:space="preserve"> </w:t>
      </w:r>
      <w:hyperlink r:id="rId8" w:history="1">
        <w:r w:rsidRPr="00D44DA3">
          <w:rPr>
            <w:rStyle w:val="Hyperlink"/>
          </w:rPr>
          <w:t>https://csis-website-prod.s3.amazonaws.com/s3fs-public/2023-05/230531_Dawes_Voluntary_CarbonMarkets.pdf?VersionId=Ji7fxv9DiPwRUJekj.0SJ14GCdstvZh8</w:t>
        </w:r>
      </w:hyperlink>
      <w:r w:rsidRPr="00D44DA3">
        <w:t>.</w:t>
      </w:r>
    </w:p>
  </w:footnote>
  <w:footnote w:id="14">
    <w:p w14:paraId="3A891597" w14:textId="34E48114" w:rsidR="001710B2" w:rsidRDefault="001710B2">
      <w:pPr>
        <w:pStyle w:val="FootnoteText"/>
      </w:pPr>
      <w:r>
        <w:rPr>
          <w:rStyle w:val="FootnoteReference"/>
        </w:rPr>
        <w:footnoteRef/>
      </w:r>
      <w:r>
        <w:t xml:space="preserve"> </w:t>
      </w:r>
      <w:r w:rsidR="00E44A54" w:rsidRPr="00E44A54">
        <w:t>International Swaps and Derivatives Association</w:t>
      </w:r>
      <w:r w:rsidR="00E44A54">
        <w:t>,</w:t>
      </w:r>
      <w:r w:rsidR="00E44A54" w:rsidRPr="00E44A54">
        <w:t xml:space="preserve"> </w:t>
      </w:r>
      <w:r>
        <w:t>“</w:t>
      </w:r>
      <w:r w:rsidRPr="001710B2">
        <w:t>Legal Implications of Voluntary Carbon Credits</w:t>
      </w:r>
      <w:r>
        <w:t>”</w:t>
      </w:r>
      <w:r w:rsidR="00E44A54">
        <w:t xml:space="preserve">, (New York City: ISDA, December 2021). See the following, “In </w:t>
      </w:r>
      <w:r w:rsidR="00E44A54" w:rsidRPr="00E44A54">
        <w:t>contrast to the highly regulated mandatory carbon market, voluntary carbon markets currently do not involve any specific government authority oversight</w:t>
      </w:r>
      <w:r w:rsidR="00E44A54">
        <w:t>.”</w:t>
      </w:r>
    </w:p>
  </w:footnote>
  <w:footnote w:id="15">
    <w:p w14:paraId="3B22E8E2" w14:textId="77777777" w:rsidR="00505A03" w:rsidRDefault="00505A03" w:rsidP="00505A03">
      <w:pPr>
        <w:pStyle w:val="FootnoteText"/>
      </w:pPr>
      <w:r>
        <w:rPr>
          <w:rStyle w:val="FootnoteReference"/>
        </w:rPr>
        <w:footnoteRef/>
      </w:r>
      <w:r>
        <w:t xml:space="preserve"> </w:t>
      </w:r>
      <w:r w:rsidRPr="00220E67">
        <w:t>Integrity Council for the Voluntary Carbon Market</w:t>
      </w:r>
      <w:r>
        <w:t xml:space="preserve">, “About Us”, </w:t>
      </w:r>
      <w:hyperlink r:id="rId9" w:history="1">
        <w:r w:rsidRPr="00F5768B">
          <w:rPr>
            <w:rStyle w:val="Hyperlink"/>
          </w:rPr>
          <w:t>https://icvcm.org/about-the-integrity-council/</w:t>
        </w:r>
      </w:hyperlink>
      <w:r>
        <w:t xml:space="preserve">. </w:t>
      </w:r>
    </w:p>
  </w:footnote>
  <w:footnote w:id="16">
    <w:p w14:paraId="454CFFCA" w14:textId="77777777" w:rsidR="00505A03" w:rsidRDefault="00505A03" w:rsidP="00505A03">
      <w:pPr>
        <w:pStyle w:val="FootnoteText"/>
      </w:pPr>
      <w:r>
        <w:rPr>
          <w:rStyle w:val="FootnoteReference"/>
        </w:rPr>
        <w:footnoteRef/>
      </w:r>
      <w:r>
        <w:t xml:space="preserve"> Townsend and Holtan, “</w:t>
      </w:r>
      <w:r w:rsidRPr="006B657B">
        <w:t>CFTC Moves to Set Voluntary Carbon Market Standards</w:t>
      </w:r>
      <w:r>
        <w:t>.” See the following, “</w:t>
      </w:r>
      <w:r w:rsidRPr="006B657B">
        <w:t>the Proposed Guidance is an attempt by the CFTC to indirectly impose standards on the VCC market via the exchanges it regulates</w:t>
      </w:r>
      <w:r>
        <w:t>.”</w:t>
      </w:r>
    </w:p>
  </w:footnote>
  <w:footnote w:id="17">
    <w:p w14:paraId="35FDD27B" w14:textId="77777777" w:rsidR="00505A03" w:rsidRDefault="00505A03" w:rsidP="00505A03">
      <w:pPr>
        <w:pStyle w:val="FootnoteText"/>
      </w:pPr>
      <w:r>
        <w:rPr>
          <w:rStyle w:val="FootnoteReference"/>
        </w:rPr>
        <w:footnoteRef/>
      </w:r>
      <w:r>
        <w:t xml:space="preserve"> Stone Washington, “</w:t>
      </w:r>
      <w:r w:rsidRPr="00C662E7">
        <w:t>Are we ready for a ‘Carbon’ Futures Trading Commission?</w:t>
      </w:r>
      <w:r>
        <w:t xml:space="preserve">”, Open Market (blog), Competitive Enterprise Institute, July 28, 2023, </w:t>
      </w:r>
      <w:hyperlink r:id="rId10" w:history="1">
        <w:r w:rsidRPr="00F5768B">
          <w:rPr>
            <w:rStyle w:val="Hyperlink"/>
          </w:rPr>
          <w:t>https://cei.org/blog/are-we-ready-for-a-carbon-futures-trading-commission/</w:t>
        </w:r>
      </w:hyperlink>
      <w:r>
        <w:t>. See the following quoted passage from my blog on Chair Behnam’s remarks at the CFTC’s second voluntary carbon market convening in July 2023, “‘</w:t>
      </w:r>
      <w:r w:rsidRPr="00A90D05">
        <w:t>the CFTC is not a climate regulator.</w:t>
      </w:r>
      <w:r>
        <w:t xml:space="preserve">’ </w:t>
      </w:r>
      <w:r w:rsidRPr="00A90D05">
        <w:t>Beh</w:t>
      </w:r>
      <w:r>
        <w:t>n</w:t>
      </w:r>
      <w:r w:rsidRPr="00A90D05">
        <w:t xml:space="preserve">am continues by stating that, </w:t>
      </w:r>
      <w:r>
        <w:t>‘</w:t>
      </w:r>
      <w:r w:rsidRPr="00A90D05">
        <w:t>indeed it is not within our authority to require that market participants comply with a specific climate policy or foreclose access to our regulated markets based on any such policy.</w:t>
      </w:r>
      <w:r>
        <w:t>’</w:t>
      </w:r>
      <w:r w:rsidRPr="00A90D05">
        <w:t>”</w:t>
      </w:r>
      <w:r>
        <w:t xml:space="preserve"> Despite what is claimed, this proposed guidance serves as a climate policy to direct investor conduct in the voluntary carbon market. It requires VCCs to conform to existing compliance standards that have not applied to the trade of carbon credits until now.</w:t>
      </w:r>
    </w:p>
  </w:footnote>
  <w:footnote w:id="18">
    <w:p w14:paraId="5FD554DD" w14:textId="5E0EE334" w:rsidR="001710B2" w:rsidRDefault="001710B2">
      <w:pPr>
        <w:pStyle w:val="FootnoteText"/>
      </w:pPr>
      <w:r>
        <w:rPr>
          <w:rStyle w:val="FootnoteReference"/>
        </w:rPr>
        <w:footnoteRef/>
      </w:r>
      <w:r>
        <w:t xml:space="preserve"> </w:t>
      </w:r>
      <w:r w:rsidRPr="001710B2">
        <w:t>Peter Y. Malyshev, Jason M. Halper, Jeffrey Nagle</w:t>
      </w:r>
      <w:r>
        <w:t>, “</w:t>
      </w:r>
      <w:r w:rsidRPr="001710B2">
        <w:t>CFTCs Increased Reach over Environmental Commodities</w:t>
      </w:r>
      <w:r>
        <w:t xml:space="preserve">”, </w:t>
      </w:r>
      <w:proofErr w:type="spellStart"/>
      <w:r>
        <w:t>Cadwalader</w:t>
      </w:r>
      <w:proofErr w:type="spellEnd"/>
      <w:r>
        <w:t xml:space="preserve">, December 15, 2023, </w:t>
      </w:r>
      <w:hyperlink r:id="rId11" w:history="1">
        <w:r w:rsidRPr="001476BC">
          <w:rPr>
            <w:rStyle w:val="Hyperlink"/>
          </w:rPr>
          <w:t>https://www.natlawreview.com/article/cftcs-increased-reach-over-environmental-commodities#:~:text=During%202023%20the%20Commodity%20Futures,(VCC)%20markets%20in%20particular</w:t>
        </w:r>
      </w:hyperlink>
      <w:r w:rsidRPr="001710B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684C" w14:textId="77777777" w:rsidR="008808D0" w:rsidRDefault="008808D0" w:rsidP="007B3DBA">
    <w:pPr>
      <w:pStyle w:val="Header"/>
    </w:pPr>
    <w:r>
      <w:rPr>
        <w:noProof/>
      </w:rPr>
      <w:drawing>
        <wp:anchor distT="0" distB="0" distL="114300" distR="114300" simplePos="0" relativeHeight="251659264" behindDoc="0" locked="0" layoutInCell="1" allowOverlap="1" wp14:anchorId="45EF2813" wp14:editId="02E14A41">
          <wp:simplePos x="0" y="0"/>
          <wp:positionH relativeFrom="column">
            <wp:posOffset>5734050</wp:posOffset>
          </wp:positionH>
          <wp:positionV relativeFrom="paragraph">
            <wp:posOffset>819150</wp:posOffset>
          </wp:positionV>
          <wp:extent cx="664210" cy="104775"/>
          <wp:effectExtent l="0" t="0" r="2540" b="9525"/>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a:picLocks noChangeAspect="1"/>
                  </pic:cNvPicPr>
                </pic:nvPicPr>
                <pic:blipFill>
                  <a:blip r:embed="rId1" cstate="print"/>
                  <a:stretch>
                    <a:fillRect/>
                  </a:stretch>
                </pic:blipFill>
                <pic:spPr>
                  <a:xfrm>
                    <a:off x="0" y="0"/>
                    <a:ext cx="664210" cy="104775"/>
                  </a:xfrm>
                  <a:prstGeom prst="rect">
                    <a:avLst/>
                  </a:prstGeom>
                </pic:spPr>
              </pic:pic>
            </a:graphicData>
          </a:graphic>
        </wp:anchor>
      </w:drawing>
    </w:r>
    <w:r>
      <w:rPr>
        <w:noProof/>
      </w:rPr>
      <w:drawing>
        <wp:anchor distT="0" distB="0" distL="114300" distR="114300" simplePos="0" relativeHeight="251660288" behindDoc="0" locked="0" layoutInCell="1" allowOverlap="1" wp14:anchorId="17EA61ED" wp14:editId="15BB916D">
          <wp:simplePos x="0" y="0"/>
          <wp:positionH relativeFrom="column">
            <wp:posOffset>4276725</wp:posOffset>
          </wp:positionH>
          <wp:positionV relativeFrom="paragraph">
            <wp:posOffset>819150</wp:posOffset>
          </wp:positionV>
          <wp:extent cx="1227455" cy="104775"/>
          <wp:effectExtent l="0" t="0" r="0" b="9525"/>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2" cstate="print"/>
                  <a:stretch>
                    <a:fillRect/>
                  </a:stretch>
                </pic:blipFill>
                <pic:spPr>
                  <a:xfrm>
                    <a:off x="0" y="0"/>
                    <a:ext cx="1227455" cy="104775"/>
                  </a:xfrm>
                  <a:prstGeom prst="rect">
                    <a:avLst/>
                  </a:prstGeom>
                </pic:spPr>
              </pic:pic>
            </a:graphicData>
          </a:graphic>
        </wp:anchor>
      </w:drawing>
    </w:r>
    <w:r>
      <w:rPr>
        <w:noProof/>
      </w:rPr>
      <w:drawing>
        <wp:anchor distT="0" distB="0" distL="114300" distR="114300" simplePos="0" relativeHeight="251661312" behindDoc="0" locked="0" layoutInCell="1" allowOverlap="1" wp14:anchorId="57C6C249" wp14:editId="7F18537E">
          <wp:simplePos x="0" y="0"/>
          <wp:positionH relativeFrom="column">
            <wp:posOffset>2628900</wp:posOffset>
          </wp:positionH>
          <wp:positionV relativeFrom="paragraph">
            <wp:posOffset>819150</wp:posOffset>
          </wp:positionV>
          <wp:extent cx="1437005" cy="104775"/>
          <wp:effectExtent l="0" t="0" r="0" b="9525"/>
          <wp:wrapNone/>
          <wp:docPr id="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a:picLocks noChangeAspect="1"/>
                  </pic:cNvPicPr>
                </pic:nvPicPr>
                <pic:blipFill>
                  <a:blip r:embed="rId3" cstate="print"/>
                  <a:stretch>
                    <a:fillRect/>
                  </a:stretch>
                </pic:blipFill>
                <pic:spPr>
                  <a:xfrm>
                    <a:off x="0" y="0"/>
                    <a:ext cx="1437005" cy="10477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6347F4F8" wp14:editId="5A8DB305">
              <wp:simplePos x="0" y="0"/>
              <wp:positionH relativeFrom="column">
                <wp:posOffset>5600700</wp:posOffset>
              </wp:positionH>
              <wp:positionV relativeFrom="paragraph">
                <wp:posOffset>847725</wp:posOffset>
              </wp:positionV>
              <wp:extent cx="49530" cy="50165"/>
              <wp:effectExtent l="0" t="0" r="7620" b="6985"/>
              <wp:wrapNone/>
              <wp:docPr id="2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50165"/>
                      </a:xfrm>
                      <a:custGeom>
                        <a:avLst/>
                        <a:gdLst>
                          <a:gd name="T0" fmla="+- 0 10118 10074"/>
                          <a:gd name="T1" fmla="*/ T0 w 79"/>
                          <a:gd name="T2" fmla="+- 0 -689 -689"/>
                          <a:gd name="T3" fmla="*/ -689 h 79"/>
                          <a:gd name="T4" fmla="+- 0 10107 10074"/>
                          <a:gd name="T5" fmla="*/ T4 w 79"/>
                          <a:gd name="T6" fmla="+- 0 -689 -689"/>
                          <a:gd name="T7" fmla="*/ -689 h 79"/>
                          <a:gd name="T8" fmla="+- 0 10102 10074"/>
                          <a:gd name="T9" fmla="*/ T8 w 79"/>
                          <a:gd name="T10" fmla="+- 0 -688 -689"/>
                          <a:gd name="T11" fmla="*/ -688 h 79"/>
                          <a:gd name="T12" fmla="+- 0 10074 10074"/>
                          <a:gd name="T13" fmla="*/ T12 w 79"/>
                          <a:gd name="T14" fmla="+- 0 -655 -689"/>
                          <a:gd name="T15" fmla="*/ -655 h 79"/>
                          <a:gd name="T16" fmla="+- 0 10074 10074"/>
                          <a:gd name="T17" fmla="*/ T16 w 79"/>
                          <a:gd name="T18" fmla="+- 0 -644 -689"/>
                          <a:gd name="T19" fmla="*/ -644 h 79"/>
                          <a:gd name="T20" fmla="+- 0 10107 10074"/>
                          <a:gd name="T21" fmla="*/ T20 w 79"/>
                          <a:gd name="T22" fmla="+- 0 -611 -689"/>
                          <a:gd name="T23" fmla="*/ -611 h 79"/>
                          <a:gd name="T24" fmla="+- 0 10118 10074"/>
                          <a:gd name="T25" fmla="*/ T24 w 79"/>
                          <a:gd name="T26" fmla="+- 0 -611 -689"/>
                          <a:gd name="T27" fmla="*/ -611 h 79"/>
                          <a:gd name="T28" fmla="+- 0 10152 10074"/>
                          <a:gd name="T29" fmla="*/ T28 w 79"/>
                          <a:gd name="T30" fmla="+- 0 -644 -689"/>
                          <a:gd name="T31" fmla="*/ -644 h 79"/>
                          <a:gd name="T32" fmla="+- 0 10152 10074"/>
                          <a:gd name="T33" fmla="*/ T32 w 79"/>
                          <a:gd name="T34" fmla="+- 0 -655 -689"/>
                          <a:gd name="T35" fmla="*/ -655 h 79"/>
                          <a:gd name="T36" fmla="+- 0 10118 10074"/>
                          <a:gd name="T37" fmla="*/ T36 w 79"/>
                          <a:gd name="T38" fmla="+- 0 -689 -689"/>
                          <a:gd name="T39" fmla="*/ -6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 h="79">
                            <a:moveTo>
                              <a:pt x="44" y="0"/>
                            </a:moveTo>
                            <a:lnTo>
                              <a:pt x="33" y="0"/>
                            </a:lnTo>
                            <a:lnTo>
                              <a:pt x="28" y="1"/>
                            </a:lnTo>
                            <a:lnTo>
                              <a:pt x="0" y="34"/>
                            </a:lnTo>
                            <a:lnTo>
                              <a:pt x="0" y="45"/>
                            </a:lnTo>
                            <a:lnTo>
                              <a:pt x="33" y="78"/>
                            </a:lnTo>
                            <a:lnTo>
                              <a:pt x="44" y="78"/>
                            </a:lnTo>
                            <a:lnTo>
                              <a:pt x="78" y="45"/>
                            </a:lnTo>
                            <a:lnTo>
                              <a:pt x="78" y="34"/>
                            </a:lnTo>
                            <a:lnTo>
                              <a:pt x="44"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anchor>
          </w:drawing>
        </mc:Choice>
        <mc:Fallback>
          <w:pict>
            <v:shape w14:anchorId="0B44B142" id="Freeform 3" o:spid="_x0000_s1026" style="position:absolute;margin-left:441pt;margin-top:66.75pt;width:3.9pt;height:3.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" path="m44,l33,,28,1,,34,,45,33,78r11,l78,45r,-11l44,xe" fillcolor="#bf8f00 [2407]" stroked="f">
              <v:path arrowok="t" o:connecttype="custom" o:connectlocs="27586,-437515;20690,-437515;17555,-436880;0,-415925;0,-408940;20690,-387985;27586,-387985;48903,-408940;48903,-415925;27586,-437515" o:connectangles="0,0,0,0,0,0,0,0,0,0"/>
            </v:shape>
          </w:pict>
        </mc:Fallback>
      </mc:AlternateContent>
    </w:r>
    <w:r>
      <w:rPr>
        <w:noProof/>
      </w:rPr>
      <mc:AlternateContent>
        <mc:Choice Requires="wps">
          <w:drawing>
            <wp:anchor distT="0" distB="0" distL="114300" distR="114300" simplePos="0" relativeHeight="251663360" behindDoc="0" locked="0" layoutInCell="1" allowOverlap="1" wp14:anchorId="0919BA5C" wp14:editId="3B0F1258">
              <wp:simplePos x="0" y="0"/>
              <wp:positionH relativeFrom="column">
                <wp:posOffset>4133850</wp:posOffset>
              </wp:positionH>
              <wp:positionV relativeFrom="paragraph">
                <wp:posOffset>847725</wp:posOffset>
              </wp:positionV>
              <wp:extent cx="49530" cy="50165"/>
              <wp:effectExtent l="0" t="0" r="7620" b="698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50165"/>
                      </a:xfrm>
                      <a:custGeom>
                        <a:avLst/>
                        <a:gdLst>
                          <a:gd name="T0" fmla="+- 0 7815 7771"/>
                          <a:gd name="T1" fmla="*/ T0 w 79"/>
                          <a:gd name="T2" fmla="+- 0 -689 -689"/>
                          <a:gd name="T3" fmla="*/ -689 h 79"/>
                          <a:gd name="T4" fmla="+- 0 7805 7771"/>
                          <a:gd name="T5" fmla="*/ T4 w 79"/>
                          <a:gd name="T6" fmla="+- 0 -689 -689"/>
                          <a:gd name="T7" fmla="*/ -689 h 79"/>
                          <a:gd name="T8" fmla="+- 0 7800 7771"/>
                          <a:gd name="T9" fmla="*/ T8 w 79"/>
                          <a:gd name="T10" fmla="+- 0 -688 -689"/>
                          <a:gd name="T11" fmla="*/ -688 h 79"/>
                          <a:gd name="T12" fmla="+- 0 7771 7771"/>
                          <a:gd name="T13" fmla="*/ T12 w 79"/>
                          <a:gd name="T14" fmla="+- 0 -655 -689"/>
                          <a:gd name="T15" fmla="*/ -655 h 79"/>
                          <a:gd name="T16" fmla="+- 0 7771 7771"/>
                          <a:gd name="T17" fmla="*/ T16 w 79"/>
                          <a:gd name="T18" fmla="+- 0 -644 -689"/>
                          <a:gd name="T19" fmla="*/ -644 h 79"/>
                          <a:gd name="T20" fmla="+- 0 7805 7771"/>
                          <a:gd name="T21" fmla="*/ T20 w 79"/>
                          <a:gd name="T22" fmla="+- 0 -611 -689"/>
                          <a:gd name="T23" fmla="*/ -611 h 79"/>
                          <a:gd name="T24" fmla="+- 0 7815 7771"/>
                          <a:gd name="T25" fmla="*/ T24 w 79"/>
                          <a:gd name="T26" fmla="+- 0 -611 -689"/>
                          <a:gd name="T27" fmla="*/ -611 h 79"/>
                          <a:gd name="T28" fmla="+- 0 7849 7771"/>
                          <a:gd name="T29" fmla="*/ T28 w 79"/>
                          <a:gd name="T30" fmla="+- 0 -644 -689"/>
                          <a:gd name="T31" fmla="*/ -644 h 79"/>
                          <a:gd name="T32" fmla="+- 0 7849 7771"/>
                          <a:gd name="T33" fmla="*/ T32 w 79"/>
                          <a:gd name="T34" fmla="+- 0 -655 -689"/>
                          <a:gd name="T35" fmla="*/ -655 h 79"/>
                          <a:gd name="T36" fmla="+- 0 7815 7771"/>
                          <a:gd name="T37" fmla="*/ T36 w 79"/>
                          <a:gd name="T38" fmla="+- 0 -689 -689"/>
                          <a:gd name="T39" fmla="*/ -6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 h="79">
                            <a:moveTo>
                              <a:pt x="44" y="0"/>
                            </a:moveTo>
                            <a:lnTo>
                              <a:pt x="34" y="0"/>
                            </a:lnTo>
                            <a:lnTo>
                              <a:pt x="29" y="1"/>
                            </a:lnTo>
                            <a:lnTo>
                              <a:pt x="0" y="34"/>
                            </a:lnTo>
                            <a:lnTo>
                              <a:pt x="0" y="45"/>
                            </a:lnTo>
                            <a:lnTo>
                              <a:pt x="34" y="78"/>
                            </a:lnTo>
                            <a:lnTo>
                              <a:pt x="44" y="78"/>
                            </a:lnTo>
                            <a:lnTo>
                              <a:pt x="78" y="45"/>
                            </a:lnTo>
                            <a:lnTo>
                              <a:pt x="78" y="34"/>
                            </a:lnTo>
                            <a:lnTo>
                              <a:pt x="44" y="0"/>
                            </a:lnTo>
                            <a:close/>
                          </a:path>
                        </a:pathLst>
                      </a:custGeom>
                      <a:solidFill>
                        <a:schemeClr val="accent4">
                          <a:lumMod val="75000"/>
                        </a:schemeClr>
                      </a:solidFill>
                      <a:ln>
                        <a:noFill/>
                      </a:ln>
                    </wps:spPr>
                    <wps:bodyPr rot="0" vert="horz" wrap="square" lIns="91440" tIns="45720" rIns="91440" bIns="45720" anchor="t" anchorCtr="0" upright="1">
                      <a:noAutofit/>
                    </wps:bodyPr>
                  </wps:wsp>
                </a:graphicData>
              </a:graphic>
            </wp:anchor>
          </w:drawing>
        </mc:Choice>
        <mc:Fallback>
          <w:pict>
            <v:shape w14:anchorId="6D99448D" id="Freeform 28" o:spid="_x0000_s1026" style="position:absolute;margin-left:325.5pt;margin-top:66.75pt;width:3.9pt;height:3.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" path="m44,l34,,29,1,,34,,45,34,78r10,l78,45r,-11l44,xe" fillcolor="#bf8f00 [2407]" stroked="f">
              <v:path arrowok="t" o:connecttype="custom" o:connectlocs="27586,-437515;21317,-437515;18182,-436880;0,-415925;0,-408940;21317,-387985;27586,-387985;48903,-408940;48903,-415925;27586,-437515" o:connectangles="0,0,0,0,0,0,0,0,0,0"/>
            </v:shape>
          </w:pict>
        </mc:Fallback>
      </mc:AlternateContent>
    </w:r>
    <w:r>
      <w:rPr>
        <w:noProof/>
      </w:rPr>
      <mc:AlternateContent>
        <mc:Choice Requires="wps">
          <w:drawing>
            <wp:anchor distT="0" distB="0" distL="114300" distR="114300" simplePos="0" relativeHeight="251664384" behindDoc="0" locked="0" layoutInCell="1" allowOverlap="1" wp14:anchorId="4C3F9947" wp14:editId="3EE8146E">
              <wp:simplePos x="0" y="0"/>
              <wp:positionH relativeFrom="column">
                <wp:posOffset>1190624</wp:posOffset>
              </wp:positionH>
              <wp:positionV relativeFrom="paragraph">
                <wp:posOffset>723900</wp:posOffset>
              </wp:positionV>
              <wp:extent cx="5207635" cy="0"/>
              <wp:effectExtent l="0" t="0" r="0" b="0"/>
              <wp:wrapNone/>
              <wp:docPr id="1128146239" name="Straight Connector 3"/>
              <wp:cNvGraphicFramePr/>
              <a:graphic xmlns:a="http://schemas.openxmlformats.org/drawingml/2006/main">
                <a:graphicData uri="http://schemas.microsoft.com/office/word/2010/wordprocessingShape">
                  <wps:wsp>
                    <wps:cNvCnPr/>
                    <wps:spPr>
                      <a:xfrm>
                        <a:off x="0" y="0"/>
                        <a:ext cx="520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8425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75pt,57pt" to="503.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" strokecolor="black [3200]" strokeweight=".5pt">
              <v:stroke joinstyle="miter"/>
            </v:line>
          </w:pict>
        </mc:Fallback>
      </mc:AlternateContent>
    </w:r>
    <w:r>
      <w:rPr>
        <w:noProof/>
      </w:rPr>
      <w:ptab w:relativeTo="margin" w:alignment="left" w:leader="none"/>
    </w:r>
    <w:r>
      <w:rPr>
        <w:noProof/>
      </w:rPr>
      <w:ptab w:relativeTo="margin" w:alignment="left" w:leader="none"/>
    </w:r>
    <w:r>
      <w:rPr>
        <w:noProof/>
      </w:rPr>
      <w:drawing>
        <wp:inline distT="0" distB="0" distL="0" distR="0" wp14:anchorId="68649F6B" wp14:editId="7744B571">
          <wp:extent cx="2533650" cy="956617"/>
          <wp:effectExtent l="0" t="0" r="0" b="0"/>
          <wp:docPr id="92095682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56820" name="Picture 1" descr="A black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73285" cy="971582"/>
                  </a:xfrm>
                  <a:prstGeom prst="rect">
                    <a:avLst/>
                  </a:prstGeom>
                </pic:spPr>
              </pic:pic>
            </a:graphicData>
          </a:graphic>
        </wp:inline>
      </w:drawing>
    </w:r>
  </w:p>
  <w:p w14:paraId="06A0126A" w14:textId="77777777" w:rsidR="008808D0" w:rsidRDefault="008808D0" w:rsidP="007B3DBA">
    <w:pPr>
      <w:pStyle w:val="Header"/>
    </w:pPr>
  </w:p>
  <w:p w14:paraId="728EA4E8" w14:textId="2130CFA3" w:rsidR="008808D0" w:rsidRDefault="00880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0778B"/>
    <w:multiLevelType w:val="hybridMultilevel"/>
    <w:tmpl w:val="BFEC515A"/>
    <w:lvl w:ilvl="0" w:tplc="600E5A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8E"/>
    <w:rsid w:val="000000AF"/>
    <w:rsid w:val="00003B00"/>
    <w:rsid w:val="000041B2"/>
    <w:rsid w:val="0001552A"/>
    <w:rsid w:val="00015CC6"/>
    <w:rsid w:val="0002645A"/>
    <w:rsid w:val="000364B4"/>
    <w:rsid w:val="000432C9"/>
    <w:rsid w:val="00043360"/>
    <w:rsid w:val="00047EA8"/>
    <w:rsid w:val="000501FF"/>
    <w:rsid w:val="00052EE7"/>
    <w:rsid w:val="000550A3"/>
    <w:rsid w:val="00067D9F"/>
    <w:rsid w:val="00070834"/>
    <w:rsid w:val="00074723"/>
    <w:rsid w:val="0007729F"/>
    <w:rsid w:val="000863B5"/>
    <w:rsid w:val="000A347D"/>
    <w:rsid w:val="000A4CDC"/>
    <w:rsid w:val="000A740F"/>
    <w:rsid w:val="000B030C"/>
    <w:rsid w:val="000B1B2E"/>
    <w:rsid w:val="000B30B0"/>
    <w:rsid w:val="000C19FA"/>
    <w:rsid w:val="000C3D63"/>
    <w:rsid w:val="000C61C1"/>
    <w:rsid w:val="000D11A5"/>
    <w:rsid w:val="000D64BD"/>
    <w:rsid w:val="000E00B1"/>
    <w:rsid w:val="000E0D3E"/>
    <w:rsid w:val="000E1836"/>
    <w:rsid w:val="000E3224"/>
    <w:rsid w:val="000F4D70"/>
    <w:rsid w:val="001018C2"/>
    <w:rsid w:val="0010261D"/>
    <w:rsid w:val="00102A3E"/>
    <w:rsid w:val="00103FF6"/>
    <w:rsid w:val="00105A5A"/>
    <w:rsid w:val="00112543"/>
    <w:rsid w:val="00121292"/>
    <w:rsid w:val="001228FE"/>
    <w:rsid w:val="001246EA"/>
    <w:rsid w:val="00124D4A"/>
    <w:rsid w:val="001279F8"/>
    <w:rsid w:val="00127EB4"/>
    <w:rsid w:val="00130183"/>
    <w:rsid w:val="00144AF4"/>
    <w:rsid w:val="00145485"/>
    <w:rsid w:val="00145DF3"/>
    <w:rsid w:val="00151B29"/>
    <w:rsid w:val="00160B4B"/>
    <w:rsid w:val="001647CB"/>
    <w:rsid w:val="0017101A"/>
    <w:rsid w:val="001710B2"/>
    <w:rsid w:val="00181A70"/>
    <w:rsid w:val="00182AAF"/>
    <w:rsid w:val="00186377"/>
    <w:rsid w:val="00187093"/>
    <w:rsid w:val="00192824"/>
    <w:rsid w:val="00193054"/>
    <w:rsid w:val="00193909"/>
    <w:rsid w:val="001A06A3"/>
    <w:rsid w:val="001A4BAC"/>
    <w:rsid w:val="001C69A1"/>
    <w:rsid w:val="001D1C36"/>
    <w:rsid w:val="001D5963"/>
    <w:rsid w:val="001D76BA"/>
    <w:rsid w:val="001E0B8C"/>
    <w:rsid w:val="001E5D1E"/>
    <w:rsid w:val="001F0260"/>
    <w:rsid w:val="001F3D7F"/>
    <w:rsid w:val="0020068A"/>
    <w:rsid w:val="002031BE"/>
    <w:rsid w:val="0021001C"/>
    <w:rsid w:val="0021266B"/>
    <w:rsid w:val="00214AE7"/>
    <w:rsid w:val="00214B86"/>
    <w:rsid w:val="00215B55"/>
    <w:rsid w:val="0021704F"/>
    <w:rsid w:val="00220C6F"/>
    <w:rsid w:val="00227B7E"/>
    <w:rsid w:val="002351E7"/>
    <w:rsid w:val="00242A5C"/>
    <w:rsid w:val="00245A04"/>
    <w:rsid w:val="002511E3"/>
    <w:rsid w:val="00251672"/>
    <w:rsid w:val="00253392"/>
    <w:rsid w:val="002560DB"/>
    <w:rsid w:val="00262D1C"/>
    <w:rsid w:val="0026655B"/>
    <w:rsid w:val="0026766E"/>
    <w:rsid w:val="00272E28"/>
    <w:rsid w:val="002736C0"/>
    <w:rsid w:val="00274572"/>
    <w:rsid w:val="002902D0"/>
    <w:rsid w:val="00292DFB"/>
    <w:rsid w:val="002953F3"/>
    <w:rsid w:val="00296675"/>
    <w:rsid w:val="00297145"/>
    <w:rsid w:val="002A6374"/>
    <w:rsid w:val="002A71F6"/>
    <w:rsid w:val="002B0D4F"/>
    <w:rsid w:val="002B3AB9"/>
    <w:rsid w:val="002C0306"/>
    <w:rsid w:val="002D68F5"/>
    <w:rsid w:val="002E547F"/>
    <w:rsid w:val="002F37EC"/>
    <w:rsid w:val="002F6870"/>
    <w:rsid w:val="002F7B4E"/>
    <w:rsid w:val="0030499D"/>
    <w:rsid w:val="003055D7"/>
    <w:rsid w:val="003064AA"/>
    <w:rsid w:val="00306533"/>
    <w:rsid w:val="0030759E"/>
    <w:rsid w:val="00315A8D"/>
    <w:rsid w:val="003239ED"/>
    <w:rsid w:val="0033466C"/>
    <w:rsid w:val="003428CB"/>
    <w:rsid w:val="0035116E"/>
    <w:rsid w:val="00354770"/>
    <w:rsid w:val="003606AD"/>
    <w:rsid w:val="003673AB"/>
    <w:rsid w:val="00367D82"/>
    <w:rsid w:val="00384909"/>
    <w:rsid w:val="00387ABB"/>
    <w:rsid w:val="003944B1"/>
    <w:rsid w:val="00394B83"/>
    <w:rsid w:val="00395434"/>
    <w:rsid w:val="00396EDF"/>
    <w:rsid w:val="003B6AB5"/>
    <w:rsid w:val="003D52FB"/>
    <w:rsid w:val="003D6802"/>
    <w:rsid w:val="003D70C1"/>
    <w:rsid w:val="003E256F"/>
    <w:rsid w:val="003F1221"/>
    <w:rsid w:val="003F509A"/>
    <w:rsid w:val="003F6A0A"/>
    <w:rsid w:val="00405264"/>
    <w:rsid w:val="0040749A"/>
    <w:rsid w:val="004138D3"/>
    <w:rsid w:val="004154B2"/>
    <w:rsid w:val="00422463"/>
    <w:rsid w:val="00425C9B"/>
    <w:rsid w:val="00435E03"/>
    <w:rsid w:val="00441569"/>
    <w:rsid w:val="00441E6B"/>
    <w:rsid w:val="00454FB1"/>
    <w:rsid w:val="004554B0"/>
    <w:rsid w:val="004705B9"/>
    <w:rsid w:val="00470E16"/>
    <w:rsid w:val="00476BF0"/>
    <w:rsid w:val="00480A48"/>
    <w:rsid w:val="00484B76"/>
    <w:rsid w:val="004868AB"/>
    <w:rsid w:val="00494E93"/>
    <w:rsid w:val="00497838"/>
    <w:rsid w:val="004A135D"/>
    <w:rsid w:val="004A7D87"/>
    <w:rsid w:val="004A7F56"/>
    <w:rsid w:val="004B278B"/>
    <w:rsid w:val="004B3385"/>
    <w:rsid w:val="004B7299"/>
    <w:rsid w:val="004C4C0C"/>
    <w:rsid w:val="004C5445"/>
    <w:rsid w:val="004C5A9A"/>
    <w:rsid w:val="004D3B29"/>
    <w:rsid w:val="004D73C3"/>
    <w:rsid w:val="004E1ADA"/>
    <w:rsid w:val="004E263E"/>
    <w:rsid w:val="004F2210"/>
    <w:rsid w:val="00502C5B"/>
    <w:rsid w:val="00505A03"/>
    <w:rsid w:val="005105CE"/>
    <w:rsid w:val="00512ABC"/>
    <w:rsid w:val="00513C89"/>
    <w:rsid w:val="005147FD"/>
    <w:rsid w:val="00520380"/>
    <w:rsid w:val="00521CE5"/>
    <w:rsid w:val="00525965"/>
    <w:rsid w:val="00525FBE"/>
    <w:rsid w:val="00530245"/>
    <w:rsid w:val="005316DA"/>
    <w:rsid w:val="00533020"/>
    <w:rsid w:val="00533324"/>
    <w:rsid w:val="00537DB3"/>
    <w:rsid w:val="00544B78"/>
    <w:rsid w:val="00544DFE"/>
    <w:rsid w:val="00547448"/>
    <w:rsid w:val="005631ED"/>
    <w:rsid w:val="00564421"/>
    <w:rsid w:val="0056448C"/>
    <w:rsid w:val="005738D7"/>
    <w:rsid w:val="00576A16"/>
    <w:rsid w:val="00580736"/>
    <w:rsid w:val="00580C0F"/>
    <w:rsid w:val="00584892"/>
    <w:rsid w:val="00593180"/>
    <w:rsid w:val="005A087C"/>
    <w:rsid w:val="005B0C9A"/>
    <w:rsid w:val="005C1A4B"/>
    <w:rsid w:val="005C6C24"/>
    <w:rsid w:val="005D6C5A"/>
    <w:rsid w:val="005E1179"/>
    <w:rsid w:val="00605A32"/>
    <w:rsid w:val="006076FE"/>
    <w:rsid w:val="006154A8"/>
    <w:rsid w:val="00625D49"/>
    <w:rsid w:val="006304A1"/>
    <w:rsid w:val="00633BF8"/>
    <w:rsid w:val="00634C20"/>
    <w:rsid w:val="00635083"/>
    <w:rsid w:val="00644E6A"/>
    <w:rsid w:val="0065183F"/>
    <w:rsid w:val="006568A6"/>
    <w:rsid w:val="0065750A"/>
    <w:rsid w:val="0066404B"/>
    <w:rsid w:val="00670E93"/>
    <w:rsid w:val="00672B91"/>
    <w:rsid w:val="00673C55"/>
    <w:rsid w:val="0069037A"/>
    <w:rsid w:val="00690F07"/>
    <w:rsid w:val="006B0825"/>
    <w:rsid w:val="006B3D40"/>
    <w:rsid w:val="006C37A5"/>
    <w:rsid w:val="006C616A"/>
    <w:rsid w:val="006E3FC0"/>
    <w:rsid w:val="006F27CC"/>
    <w:rsid w:val="00701107"/>
    <w:rsid w:val="007033B7"/>
    <w:rsid w:val="007069E5"/>
    <w:rsid w:val="00707A70"/>
    <w:rsid w:val="00714479"/>
    <w:rsid w:val="00730FD0"/>
    <w:rsid w:val="00731989"/>
    <w:rsid w:val="007322EF"/>
    <w:rsid w:val="00734444"/>
    <w:rsid w:val="00735F30"/>
    <w:rsid w:val="0073675E"/>
    <w:rsid w:val="00744565"/>
    <w:rsid w:val="00745C28"/>
    <w:rsid w:val="00752C86"/>
    <w:rsid w:val="007562A2"/>
    <w:rsid w:val="007679D6"/>
    <w:rsid w:val="0077106B"/>
    <w:rsid w:val="007760D9"/>
    <w:rsid w:val="00780AB6"/>
    <w:rsid w:val="00786088"/>
    <w:rsid w:val="00790890"/>
    <w:rsid w:val="00794155"/>
    <w:rsid w:val="00795880"/>
    <w:rsid w:val="00796D45"/>
    <w:rsid w:val="007A0DF8"/>
    <w:rsid w:val="007B3141"/>
    <w:rsid w:val="007B3DBA"/>
    <w:rsid w:val="007C0437"/>
    <w:rsid w:val="007C26B4"/>
    <w:rsid w:val="007C2B68"/>
    <w:rsid w:val="007C7DB1"/>
    <w:rsid w:val="007D48E6"/>
    <w:rsid w:val="007D67FD"/>
    <w:rsid w:val="007E5462"/>
    <w:rsid w:val="007F3935"/>
    <w:rsid w:val="007F4A60"/>
    <w:rsid w:val="007F7E33"/>
    <w:rsid w:val="00800667"/>
    <w:rsid w:val="00801EBA"/>
    <w:rsid w:val="0080256E"/>
    <w:rsid w:val="0081072C"/>
    <w:rsid w:val="008128E9"/>
    <w:rsid w:val="00813F73"/>
    <w:rsid w:val="0082675F"/>
    <w:rsid w:val="00830F14"/>
    <w:rsid w:val="008417CC"/>
    <w:rsid w:val="0084257E"/>
    <w:rsid w:val="00844DDA"/>
    <w:rsid w:val="00845EAF"/>
    <w:rsid w:val="00845FA7"/>
    <w:rsid w:val="00847335"/>
    <w:rsid w:val="00864363"/>
    <w:rsid w:val="008808D0"/>
    <w:rsid w:val="00883E92"/>
    <w:rsid w:val="00890364"/>
    <w:rsid w:val="00895BDF"/>
    <w:rsid w:val="008A01F2"/>
    <w:rsid w:val="008A3EFC"/>
    <w:rsid w:val="008A4CB8"/>
    <w:rsid w:val="008A5146"/>
    <w:rsid w:val="008B2A24"/>
    <w:rsid w:val="008B3A2E"/>
    <w:rsid w:val="008C2049"/>
    <w:rsid w:val="008C5D49"/>
    <w:rsid w:val="008E2C8C"/>
    <w:rsid w:val="008E6F53"/>
    <w:rsid w:val="008F4314"/>
    <w:rsid w:val="008F4A6A"/>
    <w:rsid w:val="00904EA7"/>
    <w:rsid w:val="009102A2"/>
    <w:rsid w:val="00911D3A"/>
    <w:rsid w:val="009124BD"/>
    <w:rsid w:val="00915369"/>
    <w:rsid w:val="00916A2B"/>
    <w:rsid w:val="0092117B"/>
    <w:rsid w:val="00922744"/>
    <w:rsid w:val="0093173A"/>
    <w:rsid w:val="00935A81"/>
    <w:rsid w:val="00937608"/>
    <w:rsid w:val="00940D9A"/>
    <w:rsid w:val="009417C7"/>
    <w:rsid w:val="00942A6A"/>
    <w:rsid w:val="009436C1"/>
    <w:rsid w:val="00950C78"/>
    <w:rsid w:val="00950F73"/>
    <w:rsid w:val="00950FCA"/>
    <w:rsid w:val="00952E84"/>
    <w:rsid w:val="00954068"/>
    <w:rsid w:val="00954197"/>
    <w:rsid w:val="009543AA"/>
    <w:rsid w:val="00957B22"/>
    <w:rsid w:val="009619B1"/>
    <w:rsid w:val="00961F4D"/>
    <w:rsid w:val="00962251"/>
    <w:rsid w:val="0096412D"/>
    <w:rsid w:val="00967C30"/>
    <w:rsid w:val="0097073E"/>
    <w:rsid w:val="00976853"/>
    <w:rsid w:val="00977042"/>
    <w:rsid w:val="00982BF3"/>
    <w:rsid w:val="009844E9"/>
    <w:rsid w:val="009858D3"/>
    <w:rsid w:val="00986455"/>
    <w:rsid w:val="00987C65"/>
    <w:rsid w:val="009910C5"/>
    <w:rsid w:val="009961FF"/>
    <w:rsid w:val="009A44F5"/>
    <w:rsid w:val="009A49CC"/>
    <w:rsid w:val="009B33AB"/>
    <w:rsid w:val="009B4653"/>
    <w:rsid w:val="009B5E8A"/>
    <w:rsid w:val="009B75E3"/>
    <w:rsid w:val="009C4F50"/>
    <w:rsid w:val="009C7087"/>
    <w:rsid w:val="009D1016"/>
    <w:rsid w:val="009D7270"/>
    <w:rsid w:val="009E1A39"/>
    <w:rsid w:val="009F0FF0"/>
    <w:rsid w:val="009F114E"/>
    <w:rsid w:val="009F3E6A"/>
    <w:rsid w:val="009F749D"/>
    <w:rsid w:val="00A04257"/>
    <w:rsid w:val="00A119F0"/>
    <w:rsid w:val="00A25B08"/>
    <w:rsid w:val="00A32C49"/>
    <w:rsid w:val="00A40BDF"/>
    <w:rsid w:val="00A43406"/>
    <w:rsid w:val="00A470B7"/>
    <w:rsid w:val="00A52C0F"/>
    <w:rsid w:val="00A531CC"/>
    <w:rsid w:val="00A5539D"/>
    <w:rsid w:val="00A63155"/>
    <w:rsid w:val="00A64989"/>
    <w:rsid w:val="00A73871"/>
    <w:rsid w:val="00A73C81"/>
    <w:rsid w:val="00A765BE"/>
    <w:rsid w:val="00A77EA4"/>
    <w:rsid w:val="00A83744"/>
    <w:rsid w:val="00A869B3"/>
    <w:rsid w:val="00A87AF1"/>
    <w:rsid w:val="00A90F40"/>
    <w:rsid w:val="00A93263"/>
    <w:rsid w:val="00A93BBD"/>
    <w:rsid w:val="00A93F8A"/>
    <w:rsid w:val="00AA53B7"/>
    <w:rsid w:val="00AA5AFA"/>
    <w:rsid w:val="00AA6A3A"/>
    <w:rsid w:val="00AB3E2E"/>
    <w:rsid w:val="00AB758B"/>
    <w:rsid w:val="00AB7E2C"/>
    <w:rsid w:val="00AC6251"/>
    <w:rsid w:val="00AD314D"/>
    <w:rsid w:val="00AF2297"/>
    <w:rsid w:val="00AF7AB2"/>
    <w:rsid w:val="00B0031D"/>
    <w:rsid w:val="00B13D08"/>
    <w:rsid w:val="00B13DE7"/>
    <w:rsid w:val="00B14ACE"/>
    <w:rsid w:val="00B14F5D"/>
    <w:rsid w:val="00B17D90"/>
    <w:rsid w:val="00B2779B"/>
    <w:rsid w:val="00B31F54"/>
    <w:rsid w:val="00B34D36"/>
    <w:rsid w:val="00B34FF4"/>
    <w:rsid w:val="00B4047F"/>
    <w:rsid w:val="00B40AC9"/>
    <w:rsid w:val="00B47B03"/>
    <w:rsid w:val="00B579F0"/>
    <w:rsid w:val="00B633FD"/>
    <w:rsid w:val="00B65DA9"/>
    <w:rsid w:val="00B775AD"/>
    <w:rsid w:val="00B8366C"/>
    <w:rsid w:val="00B85875"/>
    <w:rsid w:val="00B86E18"/>
    <w:rsid w:val="00B915E0"/>
    <w:rsid w:val="00B9603C"/>
    <w:rsid w:val="00BA38C2"/>
    <w:rsid w:val="00BC5FE8"/>
    <w:rsid w:val="00BC68B0"/>
    <w:rsid w:val="00BD5B24"/>
    <w:rsid w:val="00BD6003"/>
    <w:rsid w:val="00BE25EF"/>
    <w:rsid w:val="00BE2C8A"/>
    <w:rsid w:val="00BE318A"/>
    <w:rsid w:val="00BE6F24"/>
    <w:rsid w:val="00C00491"/>
    <w:rsid w:val="00C03ED2"/>
    <w:rsid w:val="00C137F6"/>
    <w:rsid w:val="00C1619E"/>
    <w:rsid w:val="00C17A5D"/>
    <w:rsid w:val="00C21E3F"/>
    <w:rsid w:val="00C23C2D"/>
    <w:rsid w:val="00C35943"/>
    <w:rsid w:val="00C375DB"/>
    <w:rsid w:val="00C37C84"/>
    <w:rsid w:val="00C41EBF"/>
    <w:rsid w:val="00C465B1"/>
    <w:rsid w:val="00C47C15"/>
    <w:rsid w:val="00C617FF"/>
    <w:rsid w:val="00C6343B"/>
    <w:rsid w:val="00C759F5"/>
    <w:rsid w:val="00C85E44"/>
    <w:rsid w:val="00C86D9B"/>
    <w:rsid w:val="00C9219F"/>
    <w:rsid w:val="00C9294E"/>
    <w:rsid w:val="00C9471E"/>
    <w:rsid w:val="00C9729D"/>
    <w:rsid w:val="00CA1731"/>
    <w:rsid w:val="00CA65F0"/>
    <w:rsid w:val="00CA7017"/>
    <w:rsid w:val="00CC038E"/>
    <w:rsid w:val="00CC6776"/>
    <w:rsid w:val="00CD68DD"/>
    <w:rsid w:val="00CE03A2"/>
    <w:rsid w:val="00CE4B92"/>
    <w:rsid w:val="00CE6738"/>
    <w:rsid w:val="00CE6AD0"/>
    <w:rsid w:val="00CE75E1"/>
    <w:rsid w:val="00CF0F27"/>
    <w:rsid w:val="00CF1CC4"/>
    <w:rsid w:val="00CF5041"/>
    <w:rsid w:val="00D00082"/>
    <w:rsid w:val="00D03A88"/>
    <w:rsid w:val="00D10D58"/>
    <w:rsid w:val="00D17841"/>
    <w:rsid w:val="00D21FE0"/>
    <w:rsid w:val="00D22754"/>
    <w:rsid w:val="00D22E0A"/>
    <w:rsid w:val="00D32054"/>
    <w:rsid w:val="00D32AF5"/>
    <w:rsid w:val="00D34EE9"/>
    <w:rsid w:val="00D35F85"/>
    <w:rsid w:val="00D411E3"/>
    <w:rsid w:val="00D42320"/>
    <w:rsid w:val="00D51E9C"/>
    <w:rsid w:val="00D577FC"/>
    <w:rsid w:val="00D60953"/>
    <w:rsid w:val="00D639DD"/>
    <w:rsid w:val="00D64F98"/>
    <w:rsid w:val="00D67391"/>
    <w:rsid w:val="00D74CC7"/>
    <w:rsid w:val="00D76525"/>
    <w:rsid w:val="00D8300D"/>
    <w:rsid w:val="00D85268"/>
    <w:rsid w:val="00D86722"/>
    <w:rsid w:val="00D86951"/>
    <w:rsid w:val="00D951C0"/>
    <w:rsid w:val="00DA25B3"/>
    <w:rsid w:val="00DA4FFC"/>
    <w:rsid w:val="00DB0183"/>
    <w:rsid w:val="00DB0727"/>
    <w:rsid w:val="00DB5BDB"/>
    <w:rsid w:val="00DB65C3"/>
    <w:rsid w:val="00DD0902"/>
    <w:rsid w:val="00DD1FA4"/>
    <w:rsid w:val="00DD24B1"/>
    <w:rsid w:val="00DD6EC8"/>
    <w:rsid w:val="00DE63AB"/>
    <w:rsid w:val="00DE6775"/>
    <w:rsid w:val="00DF163C"/>
    <w:rsid w:val="00E001B6"/>
    <w:rsid w:val="00E00F1A"/>
    <w:rsid w:val="00E0104E"/>
    <w:rsid w:val="00E02CF3"/>
    <w:rsid w:val="00E0391F"/>
    <w:rsid w:val="00E1058A"/>
    <w:rsid w:val="00E25FF9"/>
    <w:rsid w:val="00E30355"/>
    <w:rsid w:val="00E4279F"/>
    <w:rsid w:val="00E438F4"/>
    <w:rsid w:val="00E44202"/>
    <w:rsid w:val="00E44A54"/>
    <w:rsid w:val="00E5074A"/>
    <w:rsid w:val="00E51877"/>
    <w:rsid w:val="00E5565E"/>
    <w:rsid w:val="00E61B3E"/>
    <w:rsid w:val="00E744F1"/>
    <w:rsid w:val="00E76937"/>
    <w:rsid w:val="00E819A5"/>
    <w:rsid w:val="00E91A7B"/>
    <w:rsid w:val="00E96169"/>
    <w:rsid w:val="00EA0954"/>
    <w:rsid w:val="00EA650E"/>
    <w:rsid w:val="00EB3F4C"/>
    <w:rsid w:val="00EB733E"/>
    <w:rsid w:val="00ED154A"/>
    <w:rsid w:val="00EE01B1"/>
    <w:rsid w:val="00EE3449"/>
    <w:rsid w:val="00EE3CEC"/>
    <w:rsid w:val="00EE529A"/>
    <w:rsid w:val="00EF5595"/>
    <w:rsid w:val="00EF7077"/>
    <w:rsid w:val="00F0241F"/>
    <w:rsid w:val="00F030AE"/>
    <w:rsid w:val="00F15269"/>
    <w:rsid w:val="00F25000"/>
    <w:rsid w:val="00F25171"/>
    <w:rsid w:val="00F320E2"/>
    <w:rsid w:val="00F40E26"/>
    <w:rsid w:val="00F41526"/>
    <w:rsid w:val="00F42259"/>
    <w:rsid w:val="00F800D9"/>
    <w:rsid w:val="00F8280C"/>
    <w:rsid w:val="00F861A5"/>
    <w:rsid w:val="00F867A1"/>
    <w:rsid w:val="00F902FF"/>
    <w:rsid w:val="00F935F7"/>
    <w:rsid w:val="00F9523D"/>
    <w:rsid w:val="00FA04C9"/>
    <w:rsid w:val="00FA2918"/>
    <w:rsid w:val="00FB38B4"/>
    <w:rsid w:val="00FB5152"/>
    <w:rsid w:val="00FB72B1"/>
    <w:rsid w:val="00FC07ED"/>
    <w:rsid w:val="00FC0E54"/>
    <w:rsid w:val="00FD6372"/>
    <w:rsid w:val="00FE49A8"/>
    <w:rsid w:val="00FE4A9A"/>
    <w:rsid w:val="00FE4C54"/>
    <w:rsid w:val="00FE6E03"/>
    <w:rsid w:val="00FF2854"/>
    <w:rsid w:val="00FF4394"/>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C2FF0"/>
  <w15:chartTrackingRefBased/>
  <w15:docId w15:val="{5914AA5D-7C50-4311-B1D8-C608C9C5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03"/>
  </w:style>
  <w:style w:type="paragraph" w:styleId="Heading1">
    <w:name w:val="heading 1"/>
    <w:basedOn w:val="Normal"/>
    <w:next w:val="Normal"/>
    <w:link w:val="Heading1Char"/>
    <w:uiPriority w:val="9"/>
    <w:qFormat/>
    <w:rsid w:val="00502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E"/>
  </w:style>
  <w:style w:type="paragraph" w:styleId="Footer">
    <w:name w:val="footer"/>
    <w:basedOn w:val="Normal"/>
    <w:link w:val="FooterChar"/>
    <w:uiPriority w:val="99"/>
    <w:unhideWhenUsed/>
    <w:rsid w:val="00C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E"/>
  </w:style>
  <w:style w:type="paragraph" w:styleId="FootnoteText">
    <w:name w:val="footnote text"/>
    <w:basedOn w:val="Normal"/>
    <w:link w:val="FootnoteTextChar"/>
    <w:uiPriority w:val="99"/>
    <w:unhideWhenUsed/>
    <w:rsid w:val="00CC038E"/>
    <w:pPr>
      <w:spacing w:after="0" w:line="240" w:lineRule="auto"/>
    </w:pPr>
    <w:rPr>
      <w:sz w:val="20"/>
      <w:szCs w:val="20"/>
    </w:rPr>
  </w:style>
  <w:style w:type="character" w:customStyle="1" w:styleId="FootnoteTextChar">
    <w:name w:val="Footnote Text Char"/>
    <w:basedOn w:val="DefaultParagraphFont"/>
    <w:link w:val="FootnoteText"/>
    <w:uiPriority w:val="99"/>
    <w:rsid w:val="00CC038E"/>
    <w:rPr>
      <w:sz w:val="20"/>
      <w:szCs w:val="20"/>
    </w:rPr>
  </w:style>
  <w:style w:type="character" w:styleId="FootnoteReference">
    <w:name w:val="footnote reference"/>
    <w:basedOn w:val="DefaultParagraphFont"/>
    <w:uiPriority w:val="99"/>
    <w:semiHidden/>
    <w:unhideWhenUsed/>
    <w:rsid w:val="00CC038E"/>
    <w:rPr>
      <w:vertAlign w:val="superscript"/>
    </w:rPr>
  </w:style>
  <w:style w:type="paragraph" w:styleId="ListParagraph">
    <w:name w:val="List Paragraph"/>
    <w:basedOn w:val="Normal"/>
    <w:uiPriority w:val="34"/>
    <w:qFormat/>
    <w:rsid w:val="00CE6AD0"/>
    <w:pPr>
      <w:ind w:left="720"/>
      <w:contextualSpacing/>
    </w:pPr>
  </w:style>
  <w:style w:type="character" w:styleId="Hyperlink">
    <w:name w:val="Hyperlink"/>
    <w:basedOn w:val="DefaultParagraphFont"/>
    <w:uiPriority w:val="99"/>
    <w:unhideWhenUsed/>
    <w:rsid w:val="00DB0183"/>
    <w:rPr>
      <w:color w:val="0563C1" w:themeColor="hyperlink"/>
      <w:u w:val="single"/>
    </w:rPr>
  </w:style>
  <w:style w:type="character" w:styleId="UnresolvedMention">
    <w:name w:val="Unresolved Mention"/>
    <w:basedOn w:val="DefaultParagraphFont"/>
    <w:uiPriority w:val="99"/>
    <w:semiHidden/>
    <w:unhideWhenUsed/>
    <w:rsid w:val="00DB0183"/>
    <w:rPr>
      <w:color w:val="605E5C"/>
      <w:shd w:val="clear" w:color="auto" w:fill="E1DFDD"/>
    </w:rPr>
  </w:style>
  <w:style w:type="character" w:customStyle="1" w:styleId="Heading1Char">
    <w:name w:val="Heading 1 Char"/>
    <w:basedOn w:val="DefaultParagraphFont"/>
    <w:link w:val="Heading1"/>
    <w:uiPriority w:val="9"/>
    <w:rsid w:val="00502C5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F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14E"/>
    <w:rPr>
      <w:rFonts w:ascii="Segoe UI" w:hAnsi="Segoe UI" w:cs="Segoe UI"/>
      <w:sz w:val="18"/>
      <w:szCs w:val="18"/>
    </w:rPr>
  </w:style>
  <w:style w:type="character" w:styleId="CommentReference">
    <w:name w:val="annotation reference"/>
    <w:basedOn w:val="DefaultParagraphFont"/>
    <w:uiPriority w:val="99"/>
    <w:semiHidden/>
    <w:unhideWhenUsed/>
    <w:rsid w:val="000E1836"/>
    <w:rPr>
      <w:sz w:val="16"/>
      <w:szCs w:val="16"/>
    </w:rPr>
  </w:style>
  <w:style w:type="paragraph" w:styleId="CommentText">
    <w:name w:val="annotation text"/>
    <w:basedOn w:val="Normal"/>
    <w:link w:val="CommentTextChar"/>
    <w:uiPriority w:val="99"/>
    <w:semiHidden/>
    <w:unhideWhenUsed/>
    <w:rsid w:val="000E1836"/>
    <w:pPr>
      <w:spacing w:line="240" w:lineRule="auto"/>
    </w:pPr>
    <w:rPr>
      <w:sz w:val="20"/>
      <w:szCs w:val="20"/>
    </w:rPr>
  </w:style>
  <w:style w:type="character" w:customStyle="1" w:styleId="CommentTextChar">
    <w:name w:val="Comment Text Char"/>
    <w:basedOn w:val="DefaultParagraphFont"/>
    <w:link w:val="CommentText"/>
    <w:uiPriority w:val="99"/>
    <w:semiHidden/>
    <w:rsid w:val="000E1836"/>
    <w:rPr>
      <w:sz w:val="20"/>
      <w:szCs w:val="20"/>
    </w:rPr>
  </w:style>
  <w:style w:type="paragraph" w:styleId="CommentSubject">
    <w:name w:val="annotation subject"/>
    <w:basedOn w:val="CommentText"/>
    <w:next w:val="CommentText"/>
    <w:link w:val="CommentSubjectChar"/>
    <w:uiPriority w:val="99"/>
    <w:semiHidden/>
    <w:unhideWhenUsed/>
    <w:rsid w:val="000E1836"/>
    <w:rPr>
      <w:b/>
      <w:bCs/>
    </w:rPr>
  </w:style>
  <w:style w:type="character" w:customStyle="1" w:styleId="CommentSubjectChar">
    <w:name w:val="Comment Subject Char"/>
    <w:basedOn w:val="CommentTextChar"/>
    <w:link w:val="CommentSubject"/>
    <w:uiPriority w:val="99"/>
    <w:semiHidden/>
    <w:rsid w:val="000E1836"/>
    <w:rPr>
      <w:b/>
      <w:bCs/>
      <w:sz w:val="20"/>
      <w:szCs w:val="20"/>
    </w:rPr>
  </w:style>
  <w:style w:type="character" w:styleId="FollowedHyperlink">
    <w:name w:val="FollowedHyperlink"/>
    <w:basedOn w:val="DefaultParagraphFont"/>
    <w:uiPriority w:val="99"/>
    <w:semiHidden/>
    <w:unhideWhenUsed/>
    <w:rsid w:val="0092117B"/>
    <w:rPr>
      <w:color w:val="954F72" w:themeColor="followedHyperlink"/>
      <w:u w:val="single"/>
    </w:rPr>
  </w:style>
  <w:style w:type="character" w:styleId="Emphasis">
    <w:name w:val="Emphasis"/>
    <w:basedOn w:val="DefaultParagraphFont"/>
    <w:uiPriority w:val="20"/>
    <w:qFormat/>
    <w:rsid w:val="00505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295">
      <w:bodyDiv w:val="1"/>
      <w:marLeft w:val="0"/>
      <w:marRight w:val="0"/>
      <w:marTop w:val="0"/>
      <w:marBottom w:val="0"/>
      <w:divBdr>
        <w:top w:val="none" w:sz="0" w:space="0" w:color="auto"/>
        <w:left w:val="none" w:sz="0" w:space="0" w:color="auto"/>
        <w:bottom w:val="none" w:sz="0" w:space="0" w:color="auto"/>
        <w:right w:val="none" w:sz="0" w:space="0" w:color="auto"/>
      </w:divBdr>
      <w:divsChild>
        <w:div w:id="306861916">
          <w:marLeft w:val="0"/>
          <w:marRight w:val="0"/>
          <w:marTop w:val="0"/>
          <w:marBottom w:val="0"/>
          <w:divBdr>
            <w:top w:val="none" w:sz="0" w:space="0" w:color="auto"/>
            <w:left w:val="none" w:sz="0" w:space="0" w:color="auto"/>
            <w:bottom w:val="none" w:sz="0" w:space="0" w:color="auto"/>
            <w:right w:val="none" w:sz="0" w:space="0" w:color="auto"/>
          </w:divBdr>
          <w:divsChild>
            <w:div w:id="327439416">
              <w:marLeft w:val="0"/>
              <w:marRight w:val="0"/>
              <w:marTop w:val="0"/>
              <w:marBottom w:val="0"/>
              <w:divBdr>
                <w:top w:val="none" w:sz="0" w:space="0" w:color="auto"/>
                <w:left w:val="none" w:sz="0" w:space="0" w:color="auto"/>
                <w:bottom w:val="none" w:sz="0" w:space="0" w:color="auto"/>
                <w:right w:val="none" w:sz="0" w:space="0" w:color="auto"/>
              </w:divBdr>
              <w:divsChild>
                <w:div w:id="1789740624">
                  <w:marLeft w:val="0"/>
                  <w:marRight w:val="0"/>
                  <w:marTop w:val="0"/>
                  <w:marBottom w:val="0"/>
                  <w:divBdr>
                    <w:top w:val="none" w:sz="0" w:space="0" w:color="auto"/>
                    <w:left w:val="none" w:sz="0" w:space="0" w:color="auto"/>
                    <w:bottom w:val="none" w:sz="0" w:space="0" w:color="auto"/>
                    <w:right w:val="none" w:sz="0" w:space="0" w:color="auto"/>
                  </w:divBdr>
                  <w:divsChild>
                    <w:div w:id="7881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9488">
      <w:bodyDiv w:val="1"/>
      <w:marLeft w:val="0"/>
      <w:marRight w:val="0"/>
      <w:marTop w:val="0"/>
      <w:marBottom w:val="0"/>
      <w:divBdr>
        <w:top w:val="none" w:sz="0" w:space="0" w:color="auto"/>
        <w:left w:val="none" w:sz="0" w:space="0" w:color="auto"/>
        <w:bottom w:val="none" w:sz="0" w:space="0" w:color="auto"/>
        <w:right w:val="none" w:sz="0" w:space="0" w:color="auto"/>
      </w:divBdr>
    </w:div>
    <w:div w:id="338851949">
      <w:bodyDiv w:val="1"/>
      <w:marLeft w:val="0"/>
      <w:marRight w:val="0"/>
      <w:marTop w:val="0"/>
      <w:marBottom w:val="0"/>
      <w:divBdr>
        <w:top w:val="none" w:sz="0" w:space="0" w:color="auto"/>
        <w:left w:val="none" w:sz="0" w:space="0" w:color="auto"/>
        <w:bottom w:val="none" w:sz="0" w:space="0" w:color="auto"/>
        <w:right w:val="none" w:sz="0" w:space="0" w:color="auto"/>
      </w:divBdr>
    </w:div>
    <w:div w:id="389153279">
      <w:bodyDiv w:val="1"/>
      <w:marLeft w:val="0"/>
      <w:marRight w:val="0"/>
      <w:marTop w:val="0"/>
      <w:marBottom w:val="0"/>
      <w:divBdr>
        <w:top w:val="none" w:sz="0" w:space="0" w:color="auto"/>
        <w:left w:val="none" w:sz="0" w:space="0" w:color="auto"/>
        <w:bottom w:val="none" w:sz="0" w:space="0" w:color="auto"/>
        <w:right w:val="none" w:sz="0" w:space="0" w:color="auto"/>
      </w:divBdr>
      <w:divsChild>
        <w:div w:id="723138734">
          <w:marLeft w:val="0"/>
          <w:marRight w:val="0"/>
          <w:marTop w:val="0"/>
          <w:marBottom w:val="0"/>
          <w:divBdr>
            <w:top w:val="none" w:sz="0" w:space="0" w:color="auto"/>
            <w:left w:val="none" w:sz="0" w:space="0" w:color="auto"/>
            <w:bottom w:val="none" w:sz="0" w:space="0" w:color="auto"/>
            <w:right w:val="none" w:sz="0" w:space="0" w:color="auto"/>
          </w:divBdr>
          <w:divsChild>
            <w:div w:id="1560432290">
              <w:marLeft w:val="0"/>
              <w:marRight w:val="0"/>
              <w:marTop w:val="0"/>
              <w:marBottom w:val="0"/>
              <w:divBdr>
                <w:top w:val="none" w:sz="0" w:space="0" w:color="auto"/>
                <w:left w:val="none" w:sz="0" w:space="0" w:color="auto"/>
                <w:bottom w:val="none" w:sz="0" w:space="0" w:color="auto"/>
                <w:right w:val="none" w:sz="0" w:space="0" w:color="auto"/>
              </w:divBdr>
              <w:divsChild>
                <w:div w:id="424230775">
                  <w:marLeft w:val="0"/>
                  <w:marRight w:val="0"/>
                  <w:marTop w:val="0"/>
                  <w:marBottom w:val="0"/>
                  <w:divBdr>
                    <w:top w:val="none" w:sz="0" w:space="0" w:color="auto"/>
                    <w:left w:val="none" w:sz="0" w:space="0" w:color="auto"/>
                    <w:bottom w:val="none" w:sz="0" w:space="0" w:color="auto"/>
                    <w:right w:val="none" w:sz="0" w:space="0" w:color="auto"/>
                  </w:divBdr>
                  <w:divsChild>
                    <w:div w:id="19676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44478">
      <w:bodyDiv w:val="1"/>
      <w:marLeft w:val="0"/>
      <w:marRight w:val="0"/>
      <w:marTop w:val="0"/>
      <w:marBottom w:val="0"/>
      <w:divBdr>
        <w:top w:val="none" w:sz="0" w:space="0" w:color="auto"/>
        <w:left w:val="none" w:sz="0" w:space="0" w:color="auto"/>
        <w:bottom w:val="none" w:sz="0" w:space="0" w:color="auto"/>
        <w:right w:val="none" w:sz="0" w:space="0" w:color="auto"/>
      </w:divBdr>
    </w:div>
    <w:div w:id="486557525">
      <w:bodyDiv w:val="1"/>
      <w:marLeft w:val="0"/>
      <w:marRight w:val="0"/>
      <w:marTop w:val="0"/>
      <w:marBottom w:val="0"/>
      <w:divBdr>
        <w:top w:val="none" w:sz="0" w:space="0" w:color="auto"/>
        <w:left w:val="none" w:sz="0" w:space="0" w:color="auto"/>
        <w:bottom w:val="none" w:sz="0" w:space="0" w:color="auto"/>
        <w:right w:val="none" w:sz="0" w:space="0" w:color="auto"/>
      </w:divBdr>
    </w:div>
    <w:div w:id="1190874865">
      <w:bodyDiv w:val="1"/>
      <w:marLeft w:val="0"/>
      <w:marRight w:val="0"/>
      <w:marTop w:val="0"/>
      <w:marBottom w:val="0"/>
      <w:divBdr>
        <w:top w:val="none" w:sz="0" w:space="0" w:color="auto"/>
        <w:left w:val="none" w:sz="0" w:space="0" w:color="auto"/>
        <w:bottom w:val="none" w:sz="0" w:space="0" w:color="auto"/>
        <w:right w:val="none" w:sz="0" w:space="0" w:color="auto"/>
      </w:divBdr>
    </w:div>
    <w:div w:id="1307709366">
      <w:bodyDiv w:val="1"/>
      <w:marLeft w:val="0"/>
      <w:marRight w:val="0"/>
      <w:marTop w:val="0"/>
      <w:marBottom w:val="0"/>
      <w:divBdr>
        <w:top w:val="none" w:sz="0" w:space="0" w:color="auto"/>
        <w:left w:val="none" w:sz="0" w:space="0" w:color="auto"/>
        <w:bottom w:val="none" w:sz="0" w:space="0" w:color="auto"/>
        <w:right w:val="none" w:sz="0" w:space="0" w:color="auto"/>
      </w:divBdr>
    </w:div>
    <w:div w:id="1551572676">
      <w:bodyDiv w:val="1"/>
      <w:marLeft w:val="0"/>
      <w:marRight w:val="0"/>
      <w:marTop w:val="0"/>
      <w:marBottom w:val="0"/>
      <w:divBdr>
        <w:top w:val="none" w:sz="0" w:space="0" w:color="auto"/>
        <w:left w:val="none" w:sz="0" w:space="0" w:color="auto"/>
        <w:bottom w:val="none" w:sz="0" w:space="0" w:color="auto"/>
        <w:right w:val="none" w:sz="0" w:space="0" w:color="auto"/>
      </w:divBdr>
    </w:div>
    <w:div w:id="19626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ne.washington@ce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sis-website-prod.s3.amazonaws.com/s3fs-public/2023-05/230531_Dawes_Voluntary_CarbonMarkets.pdf?VersionId=Ji7fxv9DiPwRUJekj.0SJ14GCdstvZh8" TargetMode="External"/><Relationship Id="rId3" Type="http://schemas.openxmlformats.org/officeDocument/2006/relationships/hyperlink" Target="https://www.law.cornell.edu/cfr/text/12/703.102" TargetMode="External"/><Relationship Id="rId7" Type="http://schemas.openxmlformats.org/officeDocument/2006/relationships/hyperlink" Target="https://www.morganlewis.com/pubs/2023/12/cftc-to-exercise-its-jurisdictional-hook-regulating-voluntary-carbon-markets-via-futures-exchanges-oversight" TargetMode="External"/><Relationship Id="rId2" Type="http://schemas.openxmlformats.org/officeDocument/2006/relationships/hyperlink" Target="https://www.law.cornell.edu/uscode/text/7/chapter-1" TargetMode="External"/><Relationship Id="rId1" Type="http://schemas.openxmlformats.org/officeDocument/2006/relationships/hyperlink" Target="https://www.hklaw.com/en/insights/publications/2023/12/cftc-moves-to-set-voluntary-carbon-market-standards" TargetMode="External"/><Relationship Id="rId6" Type="http://schemas.openxmlformats.org/officeDocument/2006/relationships/hyperlink" Target="https://www.cftc.gov/sites/default/files/2023/11/1700165549/SVCMC_transcript071923.pdf" TargetMode="External"/><Relationship Id="rId11" Type="http://schemas.openxmlformats.org/officeDocument/2006/relationships/hyperlink" Target="https://www.natlawreview.com/article/cftcs-increased-reach-over-environmental-commodities#:~:text=During%202023%20the%20Commodity%20Futures,(VCC)%20markets%20in%20particular" TargetMode="External"/><Relationship Id="rId5" Type="http://schemas.openxmlformats.org/officeDocument/2006/relationships/hyperlink" Target="https://thf_media.s3.amazonaws.com/2022/Regulatory_Comments/Comment%20Letter%20of%20David%20R%20Burton%20re%20CFTC%20Request%20for%20Information%20on%20Climate-Related%20Financial%20Risk%20080822.pdf" TargetMode="External"/><Relationship Id="rId10" Type="http://schemas.openxmlformats.org/officeDocument/2006/relationships/hyperlink" Target="https://cei.org/blog/are-we-ready-for-a-carbon-futures-trading-commission/" TargetMode="External"/><Relationship Id="rId4" Type="http://schemas.openxmlformats.org/officeDocument/2006/relationships/hyperlink" Target="https://www.cftc.gov/About/AboutTheCommission" TargetMode="External"/><Relationship Id="rId9" Type="http://schemas.openxmlformats.org/officeDocument/2006/relationships/hyperlink" Target="https://icvcm.org/about-the-integrity-coun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9C63-CB8C-4E04-96EE-F5D6A4B0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Broughel</dc:creator>
  <cp:keywords/>
  <dc:description/>
  <cp:lastModifiedBy>Stone Washington</cp:lastModifiedBy>
  <cp:revision>2</cp:revision>
  <cp:lastPrinted>2023-10-10T19:11:00Z</cp:lastPrinted>
  <dcterms:created xsi:type="dcterms:W3CDTF">2024-02-17T01:18:00Z</dcterms:created>
  <dcterms:modified xsi:type="dcterms:W3CDTF">2024-02-17T01:18:00Z</dcterms:modified>
</cp:coreProperties>
</file>