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1918C" w14:textId="77777777" w:rsidR="00C7173B" w:rsidRPr="00C7173B" w:rsidRDefault="00C7173B" w:rsidP="00C7173B">
      <w:pPr>
        <w:spacing w:line="276" w:lineRule="auto"/>
        <w:rPr>
          <w:rFonts w:eastAsia="Malgun Gothic" w:cs="Times New Roman"/>
          <w:szCs w:val="20"/>
          <w:lang w:eastAsia="ko-KR"/>
        </w:rPr>
      </w:pPr>
    </w:p>
    <w:p w14:paraId="68398F7C" w14:textId="0D9977C1" w:rsidR="00C7173B" w:rsidRPr="00C7173B" w:rsidRDefault="00C7173B" w:rsidP="00C7173B">
      <w:pPr>
        <w:spacing w:line="276" w:lineRule="auto"/>
        <w:rPr>
          <w:rFonts w:eastAsia="Malgun Gothic" w:cs="Times New Roman"/>
          <w:szCs w:val="20"/>
          <w:lang w:eastAsia="ko-KR"/>
        </w:rPr>
      </w:pPr>
      <w:r w:rsidRPr="00C7173B">
        <w:rPr>
          <w:rFonts w:eastAsia="Malgun Gothic" w:cs="Times New Roman"/>
          <w:szCs w:val="20"/>
          <w:lang w:eastAsia="ko-KR"/>
        </w:rPr>
        <w:t xml:space="preserve">February </w:t>
      </w:r>
      <w:r w:rsidR="001724A2">
        <w:rPr>
          <w:rFonts w:eastAsia="Malgun Gothic" w:cs="Times New Roman"/>
          <w:szCs w:val="20"/>
          <w:lang w:eastAsia="ko-KR"/>
        </w:rPr>
        <w:t xml:space="preserve">16, </w:t>
      </w:r>
      <w:r w:rsidRPr="00C7173B">
        <w:rPr>
          <w:rFonts w:eastAsia="Malgun Gothic" w:cs="Times New Roman"/>
          <w:szCs w:val="20"/>
          <w:lang w:eastAsia="ko-KR"/>
        </w:rPr>
        <w:t xml:space="preserve">2023 </w:t>
      </w:r>
    </w:p>
    <w:p w14:paraId="034269E8" w14:textId="77777777" w:rsidR="00C7173B" w:rsidRPr="00C7173B" w:rsidRDefault="00C7173B" w:rsidP="00C7173B">
      <w:pPr>
        <w:spacing w:line="276" w:lineRule="auto"/>
        <w:rPr>
          <w:rFonts w:eastAsia="Malgun Gothic" w:cs="Times New Roman"/>
          <w:szCs w:val="20"/>
          <w:lang w:eastAsia="ko-KR"/>
        </w:rPr>
      </w:pPr>
    </w:p>
    <w:p w14:paraId="25E5A54D" w14:textId="77777777" w:rsidR="00C7173B" w:rsidRPr="00C7173B" w:rsidRDefault="00C7173B" w:rsidP="00C7173B">
      <w:pPr>
        <w:spacing w:line="276" w:lineRule="auto"/>
        <w:rPr>
          <w:rFonts w:eastAsia="Malgun Gothic" w:cs="Times New Roman"/>
          <w:b/>
          <w:bCs/>
          <w:szCs w:val="20"/>
          <w:lang w:eastAsia="ko-KR"/>
        </w:rPr>
      </w:pPr>
      <w:r w:rsidRPr="00C7173B">
        <w:rPr>
          <w:rFonts w:eastAsia="Malgun Gothic" w:cs="Times New Roman"/>
          <w:b/>
          <w:bCs/>
          <w:szCs w:val="20"/>
          <w:lang w:eastAsia="ko-KR"/>
        </w:rPr>
        <w:t>To:</w:t>
      </w:r>
      <w:r w:rsidRPr="00C7173B">
        <w:rPr>
          <w:rFonts w:eastAsia="Malgun Gothic" w:cs="Times New Roman"/>
          <w:b/>
          <w:bCs/>
          <w:szCs w:val="20"/>
          <w:lang w:eastAsia="ko-KR"/>
        </w:rPr>
        <w:tab/>
      </w:r>
      <w:r w:rsidRPr="00C7173B">
        <w:rPr>
          <w:rFonts w:eastAsia="Malgun Gothic" w:cs="Times New Roman"/>
          <w:szCs w:val="20"/>
          <w:lang w:eastAsia="ko-KR"/>
        </w:rPr>
        <w:t>Commodity Futures Trading Commission</w:t>
      </w:r>
    </w:p>
    <w:p w14:paraId="76034168" w14:textId="77777777" w:rsidR="00C7173B" w:rsidRPr="00C7173B" w:rsidRDefault="00C7173B" w:rsidP="00C7173B">
      <w:pPr>
        <w:spacing w:line="276" w:lineRule="auto"/>
        <w:rPr>
          <w:rFonts w:eastAsia="Malgun Gothic" w:cs="Times New Roman"/>
          <w:szCs w:val="20"/>
          <w:lang w:eastAsia="ko-KR"/>
        </w:rPr>
      </w:pPr>
    </w:p>
    <w:p w14:paraId="75F119BB" w14:textId="1A47E8BF" w:rsidR="00C7173B" w:rsidRPr="00C7173B" w:rsidRDefault="00C7173B" w:rsidP="00C7173B">
      <w:pPr>
        <w:spacing w:line="276" w:lineRule="auto"/>
        <w:rPr>
          <w:rFonts w:eastAsia="Malgun Gothic" w:cs="Times New Roman"/>
          <w:b/>
          <w:bCs/>
          <w:szCs w:val="20"/>
          <w:lang w:eastAsia="ko-KR"/>
        </w:rPr>
      </w:pPr>
      <w:r w:rsidRPr="00C7173B">
        <w:rPr>
          <w:rFonts w:eastAsia="Malgun Gothic" w:cs="Times New Roman"/>
          <w:b/>
          <w:bCs/>
          <w:szCs w:val="20"/>
          <w:lang w:eastAsia="ko-KR"/>
        </w:rPr>
        <w:t>Re:</w:t>
      </w:r>
      <w:r w:rsidRPr="00C7173B">
        <w:rPr>
          <w:rFonts w:eastAsia="Malgun Gothic" w:cs="Times New Roman"/>
          <w:b/>
          <w:bCs/>
          <w:szCs w:val="20"/>
          <w:lang w:eastAsia="ko-KR"/>
        </w:rPr>
        <w:tab/>
      </w:r>
      <w:r w:rsidRPr="00C7173B">
        <w:rPr>
          <w:rFonts w:eastAsia="Malgun Gothic" w:cs="Times New Roman"/>
          <w:szCs w:val="20"/>
          <w:lang w:eastAsia="ko-KR"/>
        </w:rPr>
        <w:t>Commission Guidance Regarding the Listing of Voluntary Carbon Credit Derivative Co</w:t>
      </w:r>
      <w:r w:rsidR="007E1294">
        <w:rPr>
          <w:rFonts w:eastAsia="Malgun Gothic" w:cs="Times New Roman"/>
          <w:szCs w:val="20"/>
          <w:lang w:eastAsia="ko-KR"/>
        </w:rPr>
        <w:t xml:space="preserve">ntracts; Request for Comment, 88 </w:t>
      </w:r>
      <w:r w:rsidRPr="00C7173B">
        <w:rPr>
          <w:rFonts w:eastAsia="Malgun Gothic" w:cs="Times New Roman"/>
          <w:szCs w:val="20"/>
          <w:lang w:eastAsia="ko-KR"/>
        </w:rPr>
        <w:t>F</w:t>
      </w:r>
      <w:r w:rsidR="007E1294">
        <w:rPr>
          <w:rFonts w:eastAsia="Malgun Gothic" w:cs="Times New Roman"/>
          <w:szCs w:val="20"/>
          <w:lang w:eastAsia="ko-KR"/>
        </w:rPr>
        <w:t>ed. Reg. 89,410 (proposed December 4, 2023)</w:t>
      </w:r>
    </w:p>
    <w:p w14:paraId="3D750AF4" w14:textId="77777777" w:rsidR="00C7173B" w:rsidRPr="00C7173B" w:rsidRDefault="00C7173B" w:rsidP="00C7173B">
      <w:pPr>
        <w:spacing w:line="276" w:lineRule="auto"/>
        <w:rPr>
          <w:rFonts w:eastAsia="Malgun Gothic" w:cs="Times New Roman"/>
          <w:szCs w:val="20"/>
          <w:lang w:eastAsia="ko-KR"/>
        </w:rPr>
      </w:pPr>
    </w:p>
    <w:p w14:paraId="41656B82" w14:textId="5493A949" w:rsidR="00C7173B" w:rsidRDefault="00C7173B" w:rsidP="00CF309A">
      <w:pPr>
        <w:spacing w:after="120" w:line="276" w:lineRule="auto"/>
        <w:rPr>
          <w:rFonts w:eastAsia="Malgun Gothic" w:cs="Times New Roman"/>
          <w:szCs w:val="20"/>
          <w:lang w:eastAsia="ko-KR"/>
        </w:rPr>
      </w:pPr>
      <w:r w:rsidRPr="00C7173B">
        <w:rPr>
          <w:rFonts w:eastAsia="Malgun Gothic" w:cs="Times New Roman"/>
          <w:szCs w:val="20"/>
          <w:lang w:eastAsia="ko-KR"/>
        </w:rPr>
        <w:t>The Institute for Policy Integrity at New York University School of Law (Policy Integrity)</w:t>
      </w:r>
      <w:r w:rsidRPr="00C7173B">
        <w:rPr>
          <w:rFonts w:eastAsia="Malgun Gothic" w:cs="Times New Roman"/>
          <w:szCs w:val="20"/>
          <w:vertAlign w:val="superscript"/>
          <w:lang w:eastAsia="ko-KR"/>
        </w:rPr>
        <w:footnoteReference w:id="1"/>
      </w:r>
      <w:r w:rsidRPr="00C7173B">
        <w:rPr>
          <w:rFonts w:eastAsia="Malgun Gothic" w:cs="Times New Roman"/>
          <w:szCs w:val="20"/>
          <w:lang w:eastAsia="ko-KR"/>
        </w:rPr>
        <w:t xml:space="preserve"> respectfully submits the following comments to the Commodity Futures Trading Comm</w:t>
      </w:r>
      <w:r w:rsidR="00B41B81">
        <w:rPr>
          <w:rFonts w:eastAsia="Malgun Gothic" w:cs="Times New Roman"/>
          <w:szCs w:val="20"/>
          <w:lang w:eastAsia="ko-KR"/>
        </w:rPr>
        <w:t>ission (CFTC</w:t>
      </w:r>
      <w:r w:rsidR="00090654">
        <w:rPr>
          <w:rFonts w:eastAsia="Malgun Gothic" w:cs="Times New Roman"/>
          <w:szCs w:val="20"/>
          <w:lang w:eastAsia="ko-KR"/>
        </w:rPr>
        <w:t xml:space="preserve"> or Commission</w:t>
      </w:r>
      <w:r w:rsidR="00B41B81">
        <w:rPr>
          <w:rFonts w:eastAsia="Malgun Gothic" w:cs="Times New Roman"/>
          <w:szCs w:val="20"/>
          <w:lang w:eastAsia="ko-KR"/>
        </w:rPr>
        <w:t xml:space="preserve">) </w:t>
      </w:r>
      <w:r w:rsidR="00090654">
        <w:rPr>
          <w:rFonts w:eastAsia="Malgun Gothic" w:cs="Times New Roman"/>
          <w:szCs w:val="20"/>
          <w:lang w:eastAsia="ko-KR"/>
        </w:rPr>
        <w:t xml:space="preserve">on </w:t>
      </w:r>
      <w:r w:rsidR="00B41B81">
        <w:rPr>
          <w:rFonts w:eastAsia="Malgun Gothic" w:cs="Times New Roman"/>
          <w:szCs w:val="20"/>
          <w:lang w:eastAsia="ko-KR"/>
        </w:rPr>
        <w:t>the Commission Guidance Regarding the Listing of Voluntary Carbon Credit Derivative Contracts; Request for Comment</w:t>
      </w:r>
      <w:r w:rsidRPr="00C7173B">
        <w:rPr>
          <w:rFonts w:eastAsia="Malgun Gothic" w:cs="Times New Roman"/>
          <w:szCs w:val="20"/>
          <w:lang w:eastAsia="ko-KR"/>
        </w:rPr>
        <w:t xml:space="preserve"> (Guidance).</w:t>
      </w:r>
      <w:r w:rsidR="002F72E1">
        <w:rPr>
          <w:rFonts w:eastAsia="Malgun Gothic" w:cs="Times New Roman"/>
          <w:szCs w:val="20"/>
          <w:lang w:eastAsia="ko-KR"/>
        </w:rPr>
        <w:t xml:space="preserve"> </w:t>
      </w:r>
      <w:r w:rsidRPr="00C7173B">
        <w:rPr>
          <w:rFonts w:eastAsia="Malgun Gothic" w:cs="Times New Roman"/>
          <w:szCs w:val="20"/>
          <w:lang w:eastAsia="ko-KR"/>
        </w:rPr>
        <w:t>Policy Integrity is a non-partisan think tank dedicated to improving the quality of government decisionmaking through advocacy and scholarship in the fields of administrative law, economics, and public policy.</w:t>
      </w:r>
    </w:p>
    <w:p w14:paraId="3E4AB43A" w14:textId="350AF692" w:rsidR="00090654" w:rsidRDefault="00A100D8" w:rsidP="00BF39AE">
      <w:pPr>
        <w:spacing w:after="120" w:line="276" w:lineRule="auto"/>
        <w:jc w:val="both"/>
        <w:rPr>
          <w:rFonts w:eastAsia="Malgun Gothic" w:cs="Times New Roman"/>
          <w:szCs w:val="20"/>
          <w:lang w:eastAsia="ko-KR"/>
        </w:rPr>
      </w:pPr>
      <w:r>
        <w:rPr>
          <w:rFonts w:eastAsia="Malgun Gothic" w:cs="Times New Roman"/>
          <w:szCs w:val="20"/>
          <w:lang w:eastAsia="ko-KR"/>
        </w:rPr>
        <w:t>T</w:t>
      </w:r>
      <w:r w:rsidR="00E94966">
        <w:rPr>
          <w:rFonts w:eastAsia="Malgun Gothic" w:cs="Times New Roman"/>
          <w:szCs w:val="20"/>
          <w:lang w:eastAsia="ko-KR"/>
        </w:rPr>
        <w:t>he Guidance</w:t>
      </w:r>
      <w:r w:rsidR="00BB6914">
        <w:rPr>
          <w:rFonts w:eastAsia="Malgun Gothic" w:cs="Times New Roman"/>
          <w:szCs w:val="20"/>
          <w:lang w:eastAsia="ko-KR"/>
        </w:rPr>
        <w:t xml:space="preserve"> </w:t>
      </w:r>
      <w:r w:rsidR="002D1236">
        <w:rPr>
          <w:rFonts w:eastAsia="Malgun Gothic" w:cs="Times New Roman"/>
          <w:szCs w:val="20"/>
          <w:lang w:eastAsia="ko-KR"/>
        </w:rPr>
        <w:t>is</w:t>
      </w:r>
      <w:r>
        <w:rPr>
          <w:rFonts w:eastAsia="Malgun Gothic" w:cs="Times New Roman"/>
          <w:szCs w:val="20"/>
          <w:lang w:eastAsia="ko-KR"/>
        </w:rPr>
        <w:t xml:space="preserve"> an important step toward </w:t>
      </w:r>
      <w:r w:rsidR="002A0D9D">
        <w:rPr>
          <w:rFonts w:eastAsia="Malgun Gothic" w:cs="Times New Roman"/>
          <w:szCs w:val="20"/>
          <w:lang w:eastAsia="ko-KR"/>
        </w:rPr>
        <w:t>improv</w:t>
      </w:r>
      <w:r>
        <w:rPr>
          <w:rFonts w:eastAsia="Malgun Gothic" w:cs="Times New Roman"/>
          <w:szCs w:val="20"/>
          <w:lang w:eastAsia="ko-KR"/>
        </w:rPr>
        <w:t>ing</w:t>
      </w:r>
      <w:r w:rsidR="002A0D9D">
        <w:rPr>
          <w:rFonts w:eastAsia="Malgun Gothic" w:cs="Times New Roman"/>
          <w:szCs w:val="20"/>
          <w:lang w:eastAsia="ko-KR"/>
        </w:rPr>
        <w:t xml:space="preserve"> the market for </w:t>
      </w:r>
      <w:r>
        <w:rPr>
          <w:rFonts w:eastAsia="Malgun Gothic" w:cs="Times New Roman"/>
          <w:szCs w:val="20"/>
          <w:lang w:eastAsia="ko-KR"/>
        </w:rPr>
        <w:t xml:space="preserve">voluntary carbon credit (VCC) </w:t>
      </w:r>
      <w:r w:rsidR="002A0D9D">
        <w:rPr>
          <w:rFonts w:eastAsia="Malgun Gothic" w:cs="Times New Roman"/>
          <w:szCs w:val="20"/>
          <w:lang w:eastAsia="ko-KR"/>
        </w:rPr>
        <w:t>derivative</w:t>
      </w:r>
      <w:r w:rsidR="00C04AC6">
        <w:rPr>
          <w:rFonts w:eastAsia="Malgun Gothic" w:cs="Times New Roman"/>
          <w:szCs w:val="20"/>
          <w:lang w:eastAsia="ko-KR"/>
        </w:rPr>
        <w:t>s</w:t>
      </w:r>
      <w:r w:rsidR="009F5E31">
        <w:rPr>
          <w:rFonts w:eastAsia="Malgun Gothic" w:cs="Times New Roman"/>
          <w:szCs w:val="20"/>
          <w:lang w:eastAsia="ko-KR"/>
        </w:rPr>
        <w:t>,</w:t>
      </w:r>
      <w:r>
        <w:rPr>
          <w:rFonts w:eastAsia="Malgun Gothic" w:cs="Times New Roman"/>
          <w:szCs w:val="20"/>
          <w:lang w:eastAsia="ko-KR"/>
        </w:rPr>
        <w:t xml:space="preserve"> </w:t>
      </w:r>
      <w:r w:rsidR="00EB7BB3">
        <w:rPr>
          <w:rFonts w:eastAsia="Malgun Gothic" w:cs="Times New Roman"/>
          <w:szCs w:val="20"/>
          <w:lang w:eastAsia="ko-KR"/>
        </w:rPr>
        <w:t>as it</w:t>
      </w:r>
      <w:r>
        <w:rPr>
          <w:rFonts w:eastAsia="Malgun Gothic" w:cs="Times New Roman"/>
          <w:szCs w:val="20"/>
          <w:lang w:eastAsia="ko-KR"/>
        </w:rPr>
        <w:t xml:space="preserve"> </w:t>
      </w:r>
      <w:r w:rsidR="00D06E6D">
        <w:rPr>
          <w:rFonts w:eastAsia="Malgun Gothic" w:cs="Times New Roman"/>
          <w:szCs w:val="20"/>
          <w:lang w:eastAsia="ko-KR"/>
        </w:rPr>
        <w:t>identif</w:t>
      </w:r>
      <w:r w:rsidR="00EB7BB3">
        <w:rPr>
          <w:rFonts w:eastAsia="Malgun Gothic" w:cs="Times New Roman"/>
          <w:szCs w:val="20"/>
          <w:lang w:eastAsia="ko-KR"/>
        </w:rPr>
        <w:t>ies</w:t>
      </w:r>
      <w:r>
        <w:rPr>
          <w:rFonts w:eastAsia="Malgun Gothic" w:cs="Times New Roman"/>
          <w:szCs w:val="20"/>
          <w:lang w:eastAsia="ko-KR"/>
        </w:rPr>
        <w:t xml:space="preserve"> for designated contract markets (DCMs) </w:t>
      </w:r>
      <w:r w:rsidR="00D06E6D">
        <w:rPr>
          <w:rFonts w:eastAsia="Malgun Gothic" w:cs="Times New Roman"/>
          <w:szCs w:val="20"/>
          <w:lang w:eastAsia="ko-KR"/>
        </w:rPr>
        <w:t>key features</w:t>
      </w:r>
      <w:r>
        <w:rPr>
          <w:rFonts w:eastAsia="Malgun Gothic" w:cs="Times New Roman"/>
          <w:szCs w:val="20"/>
          <w:lang w:eastAsia="ko-KR"/>
        </w:rPr>
        <w:t xml:space="preserve"> of high-integrity VCCs</w:t>
      </w:r>
      <w:r w:rsidR="002A0D9D">
        <w:rPr>
          <w:rFonts w:eastAsia="Malgun Gothic" w:cs="Times New Roman"/>
          <w:szCs w:val="20"/>
          <w:lang w:eastAsia="ko-KR"/>
        </w:rPr>
        <w:t xml:space="preserve">. </w:t>
      </w:r>
      <w:r w:rsidR="00560453">
        <w:rPr>
          <w:rFonts w:eastAsia="Malgun Gothic" w:cs="Times New Roman"/>
          <w:szCs w:val="20"/>
          <w:lang w:eastAsia="ko-KR"/>
        </w:rPr>
        <w:t xml:space="preserve">In </w:t>
      </w:r>
      <w:r w:rsidR="009A367B">
        <w:rPr>
          <w:rFonts w:eastAsia="Malgun Gothic" w:cs="Times New Roman"/>
          <w:szCs w:val="20"/>
          <w:lang w:eastAsia="ko-KR"/>
        </w:rPr>
        <w:t>finalizing the Guidance</w:t>
      </w:r>
      <w:r w:rsidR="00560453">
        <w:rPr>
          <w:rFonts w:eastAsia="Malgun Gothic" w:cs="Times New Roman"/>
          <w:szCs w:val="20"/>
          <w:lang w:eastAsia="ko-KR"/>
        </w:rPr>
        <w:t>, t</w:t>
      </w:r>
      <w:r w:rsidR="0021784A">
        <w:rPr>
          <w:rFonts w:eastAsia="Malgun Gothic" w:cs="Times New Roman"/>
          <w:szCs w:val="20"/>
          <w:lang w:eastAsia="ko-KR"/>
        </w:rPr>
        <w:t>he Commission should:</w:t>
      </w:r>
    </w:p>
    <w:p w14:paraId="4FAD5E8B" w14:textId="54AD7181" w:rsidR="00090654" w:rsidRDefault="0021784A" w:rsidP="00CF309A">
      <w:pPr>
        <w:pStyle w:val="ListParagraph"/>
        <w:numPr>
          <w:ilvl w:val="0"/>
          <w:numId w:val="8"/>
        </w:numPr>
        <w:spacing w:after="120"/>
        <w:rPr>
          <w:rFonts w:eastAsia="Malgun Gothic"/>
        </w:rPr>
      </w:pPr>
      <w:r>
        <w:rPr>
          <w:rFonts w:eastAsia="Malgun Gothic"/>
        </w:rPr>
        <w:t>H</w:t>
      </w:r>
      <w:r w:rsidR="00090654">
        <w:rPr>
          <w:rFonts w:eastAsia="Malgun Gothic"/>
        </w:rPr>
        <w:t xml:space="preserve">ighlight additional sources of its </w:t>
      </w:r>
      <w:r w:rsidR="00894341">
        <w:rPr>
          <w:rFonts w:eastAsia="Malgun Gothic"/>
        </w:rPr>
        <w:t xml:space="preserve">legal </w:t>
      </w:r>
      <w:r w:rsidR="00090654">
        <w:rPr>
          <w:rFonts w:eastAsia="Malgun Gothic"/>
        </w:rPr>
        <w:t xml:space="preserve">authority </w:t>
      </w:r>
      <w:r w:rsidR="00894341">
        <w:rPr>
          <w:rFonts w:eastAsia="Malgun Gothic"/>
        </w:rPr>
        <w:t xml:space="preserve">over </w:t>
      </w:r>
      <w:r w:rsidR="008F6A71">
        <w:rPr>
          <w:rFonts w:eastAsia="Malgun Gothic"/>
        </w:rPr>
        <w:t xml:space="preserve">VCC </w:t>
      </w:r>
      <w:r w:rsidR="00894341">
        <w:rPr>
          <w:rFonts w:eastAsia="Malgun Gothic"/>
        </w:rPr>
        <w:t>derivatives</w:t>
      </w:r>
      <w:r w:rsidR="008B2DE3">
        <w:rPr>
          <w:rFonts w:eastAsia="Malgun Gothic"/>
        </w:rPr>
        <w:t xml:space="preserve">, </w:t>
      </w:r>
      <w:r w:rsidR="00D06E6D">
        <w:rPr>
          <w:rFonts w:eastAsia="Malgun Gothic"/>
        </w:rPr>
        <w:t>including Sections 2 and 7 of the Commodity Exchange Act (CEA)</w:t>
      </w:r>
      <w:r w:rsidR="00BF39AE">
        <w:rPr>
          <w:rFonts w:eastAsia="Malgun Gothic"/>
        </w:rPr>
        <w:t>.</w:t>
      </w:r>
    </w:p>
    <w:p w14:paraId="7214026C" w14:textId="79636458" w:rsidR="00090654" w:rsidRDefault="00A60F15" w:rsidP="00CF309A">
      <w:pPr>
        <w:pStyle w:val="ListParagraph"/>
        <w:numPr>
          <w:ilvl w:val="0"/>
          <w:numId w:val="8"/>
        </w:numPr>
        <w:spacing w:after="120"/>
        <w:rPr>
          <w:rFonts w:eastAsia="Malgun Gothic"/>
        </w:rPr>
      </w:pPr>
      <w:r>
        <w:rPr>
          <w:rFonts w:eastAsia="Malgun Gothic"/>
        </w:rPr>
        <w:t>Expand</w:t>
      </w:r>
      <w:r w:rsidR="00F3583A">
        <w:rPr>
          <w:rFonts w:eastAsia="Malgun Gothic"/>
        </w:rPr>
        <w:t xml:space="preserve"> its definition of additionality and provide specific examples of projects</w:t>
      </w:r>
      <w:r w:rsidR="007172C0">
        <w:rPr>
          <w:rStyle w:val="FootnoteReference"/>
          <w:rFonts w:eastAsia="Malgun Gothic"/>
        </w:rPr>
        <w:footnoteReference w:id="2"/>
      </w:r>
      <w:r w:rsidR="007172C0">
        <w:rPr>
          <w:rFonts w:eastAsia="Malgun Gothic"/>
        </w:rPr>
        <w:t xml:space="preserve"> </w:t>
      </w:r>
      <w:r w:rsidR="00F3583A">
        <w:rPr>
          <w:rFonts w:eastAsia="Malgun Gothic"/>
        </w:rPr>
        <w:t xml:space="preserve">that would or would not meet </w:t>
      </w:r>
      <w:r w:rsidR="00EB7BB3">
        <w:rPr>
          <w:rFonts w:eastAsia="Malgun Gothic"/>
        </w:rPr>
        <w:t>financial</w:t>
      </w:r>
      <w:r w:rsidR="00F3583A">
        <w:rPr>
          <w:rFonts w:eastAsia="Malgun Gothic"/>
        </w:rPr>
        <w:t xml:space="preserve"> additionality.</w:t>
      </w:r>
    </w:p>
    <w:p w14:paraId="78DB4C0A" w14:textId="0E1F1F17" w:rsidR="00CA2AF1" w:rsidRDefault="0021784A" w:rsidP="00CF309A">
      <w:pPr>
        <w:pStyle w:val="ListParagraph"/>
        <w:numPr>
          <w:ilvl w:val="0"/>
          <w:numId w:val="8"/>
        </w:numPr>
        <w:spacing w:after="120"/>
        <w:rPr>
          <w:rFonts w:eastAsia="Malgun Gothic"/>
        </w:rPr>
      </w:pPr>
      <w:r>
        <w:rPr>
          <w:rFonts w:eastAsia="Malgun Gothic"/>
        </w:rPr>
        <w:t>R</w:t>
      </w:r>
      <w:r w:rsidR="00406F2E">
        <w:rPr>
          <w:rFonts w:eastAsia="Malgun Gothic"/>
        </w:rPr>
        <w:t>ecommend</w:t>
      </w:r>
      <w:r w:rsidR="00F3583A">
        <w:rPr>
          <w:rFonts w:eastAsia="Malgun Gothic"/>
        </w:rPr>
        <w:t xml:space="preserve"> that DCMs consider whether crediting programs a</w:t>
      </w:r>
      <w:r w:rsidR="00406F2E">
        <w:rPr>
          <w:rFonts w:eastAsia="Malgun Gothic"/>
        </w:rPr>
        <w:t>ccount for</w:t>
      </w:r>
      <w:r w:rsidR="00F3583A">
        <w:rPr>
          <w:rFonts w:eastAsia="Malgun Gothic"/>
        </w:rPr>
        <w:t xml:space="preserve"> leakage risk</w:t>
      </w:r>
      <w:r w:rsidR="00406F2E">
        <w:rPr>
          <w:rFonts w:eastAsia="Malgun Gothic"/>
        </w:rPr>
        <w:t xml:space="preserve">, either as a </w:t>
      </w:r>
      <w:r w:rsidR="00D06E6D">
        <w:rPr>
          <w:rFonts w:eastAsia="Malgun Gothic"/>
        </w:rPr>
        <w:t xml:space="preserve">new </w:t>
      </w:r>
      <w:r w:rsidR="00406F2E">
        <w:rPr>
          <w:rFonts w:eastAsia="Malgun Gothic"/>
        </w:rPr>
        <w:t xml:space="preserve">recommendation or </w:t>
      </w:r>
      <w:r w:rsidR="00D06E6D">
        <w:rPr>
          <w:rFonts w:eastAsia="Malgun Gothic"/>
        </w:rPr>
        <w:t>as part of its</w:t>
      </w:r>
      <w:r w:rsidR="00406F2E">
        <w:rPr>
          <w:rFonts w:eastAsia="Malgun Gothic"/>
        </w:rPr>
        <w:t xml:space="preserve"> recommendation on robust quantification.</w:t>
      </w:r>
    </w:p>
    <w:p w14:paraId="1878AC5A" w14:textId="3BC65AC7" w:rsidR="00F3583A" w:rsidRDefault="00A60F15" w:rsidP="00CF309A">
      <w:pPr>
        <w:pStyle w:val="ListParagraph"/>
        <w:numPr>
          <w:ilvl w:val="0"/>
          <w:numId w:val="8"/>
        </w:numPr>
        <w:spacing w:after="120"/>
        <w:rPr>
          <w:rFonts w:eastAsia="Malgun Gothic"/>
        </w:rPr>
      </w:pPr>
      <w:r>
        <w:rPr>
          <w:rFonts w:eastAsia="Malgun Gothic"/>
        </w:rPr>
        <w:t>Clarify</w:t>
      </w:r>
      <w:r w:rsidR="00BA1165">
        <w:rPr>
          <w:rFonts w:eastAsia="Malgun Gothic"/>
        </w:rPr>
        <w:t xml:space="preserve"> its recommendation that DCMs conside</w:t>
      </w:r>
      <w:r w:rsidR="00406F2E">
        <w:rPr>
          <w:rFonts w:eastAsia="Malgun Gothic"/>
        </w:rPr>
        <w:t>r whether crediting programs apply</w:t>
      </w:r>
      <w:r w:rsidR="00BA1165">
        <w:rPr>
          <w:rFonts w:eastAsia="Malgun Gothic"/>
        </w:rPr>
        <w:t xml:space="preserve"> a “conservative” methodology to quantify </w:t>
      </w:r>
      <w:r w:rsidR="00D16AAF">
        <w:rPr>
          <w:rFonts w:eastAsia="Malgun Gothic"/>
        </w:rPr>
        <w:t>projects’ emissions reductions or removals</w:t>
      </w:r>
      <w:r w:rsidR="00D06E6D">
        <w:rPr>
          <w:rFonts w:eastAsia="Malgun Gothic"/>
        </w:rPr>
        <w:t>, by,</w:t>
      </w:r>
      <w:r w:rsidR="00406F2E">
        <w:rPr>
          <w:rFonts w:eastAsia="Malgun Gothic"/>
        </w:rPr>
        <w:t xml:space="preserve"> </w:t>
      </w:r>
      <w:r w:rsidR="00DB04D3">
        <w:rPr>
          <w:rFonts w:eastAsia="Malgun Gothic"/>
        </w:rPr>
        <w:t xml:space="preserve">for example, </w:t>
      </w:r>
      <w:r w:rsidR="00D06E6D">
        <w:rPr>
          <w:rFonts w:eastAsia="Malgun Gothic"/>
        </w:rPr>
        <w:t xml:space="preserve">suggesting </w:t>
      </w:r>
      <w:r w:rsidR="00406F2E">
        <w:rPr>
          <w:rFonts w:eastAsia="Malgun Gothic"/>
        </w:rPr>
        <w:t>an uncertainty ratio as an element of a conservative methodology</w:t>
      </w:r>
      <w:r w:rsidR="00BA1165">
        <w:rPr>
          <w:rFonts w:eastAsia="Malgun Gothic"/>
        </w:rPr>
        <w:t>.</w:t>
      </w:r>
    </w:p>
    <w:p w14:paraId="5CBD7366" w14:textId="448455C5" w:rsidR="00F074E5" w:rsidRDefault="0021784A" w:rsidP="00CF309A">
      <w:pPr>
        <w:pStyle w:val="ListParagraph"/>
        <w:numPr>
          <w:ilvl w:val="0"/>
          <w:numId w:val="8"/>
        </w:numPr>
        <w:spacing w:after="120"/>
        <w:rPr>
          <w:rFonts w:eastAsia="Malgun Gothic"/>
        </w:rPr>
      </w:pPr>
      <w:r>
        <w:rPr>
          <w:rFonts w:eastAsia="Malgun Gothic"/>
        </w:rPr>
        <w:t>A</w:t>
      </w:r>
      <w:r w:rsidR="00F074E5">
        <w:rPr>
          <w:rFonts w:eastAsia="Malgun Gothic"/>
        </w:rPr>
        <w:t>ddress</w:t>
      </w:r>
      <w:r w:rsidR="00D06E6D">
        <w:rPr>
          <w:rFonts w:eastAsia="Malgun Gothic"/>
        </w:rPr>
        <w:t xml:space="preserve"> additional</w:t>
      </w:r>
      <w:r w:rsidR="00F074E5">
        <w:rPr>
          <w:rFonts w:eastAsia="Malgun Gothic"/>
        </w:rPr>
        <w:t xml:space="preserve"> issues </w:t>
      </w:r>
      <w:r w:rsidR="00A60F15">
        <w:rPr>
          <w:rFonts w:eastAsia="Malgun Gothic"/>
        </w:rPr>
        <w:t>related to</w:t>
      </w:r>
      <w:r w:rsidR="00D06E6D">
        <w:rPr>
          <w:rFonts w:eastAsia="Malgun Gothic"/>
        </w:rPr>
        <w:t xml:space="preserve"> reversal </w:t>
      </w:r>
      <w:r w:rsidR="00F074E5">
        <w:rPr>
          <w:rFonts w:eastAsia="Malgun Gothic"/>
        </w:rPr>
        <w:t xml:space="preserve">risk, including how timing may affect the number of </w:t>
      </w:r>
      <w:r w:rsidR="00A60F15">
        <w:rPr>
          <w:rFonts w:eastAsia="Malgun Gothic"/>
        </w:rPr>
        <w:t>VCCs</w:t>
      </w:r>
      <w:r w:rsidR="00F074E5">
        <w:rPr>
          <w:rFonts w:eastAsia="Malgun Gothic"/>
        </w:rPr>
        <w:t xml:space="preserve"> needed to </w:t>
      </w:r>
      <w:r w:rsidR="00D06E6D">
        <w:rPr>
          <w:rFonts w:eastAsia="Malgun Gothic"/>
        </w:rPr>
        <w:t>account for</w:t>
      </w:r>
      <w:r w:rsidR="003211B8">
        <w:rPr>
          <w:rFonts w:eastAsia="Malgun Gothic"/>
        </w:rPr>
        <w:t xml:space="preserve"> harm</w:t>
      </w:r>
      <w:r w:rsidR="00D06E6D">
        <w:rPr>
          <w:rFonts w:eastAsia="Malgun Gothic"/>
        </w:rPr>
        <w:t xml:space="preserve"> attributable to reversal</w:t>
      </w:r>
      <w:r w:rsidR="00F074E5">
        <w:rPr>
          <w:rFonts w:eastAsia="Malgun Gothic"/>
        </w:rPr>
        <w:t>.</w:t>
      </w:r>
      <w:r w:rsidR="00DB04D3" w:rsidDel="00DB04D3">
        <w:rPr>
          <w:rFonts w:eastAsia="Malgun Gothic"/>
        </w:rPr>
        <w:t xml:space="preserve"> </w:t>
      </w:r>
    </w:p>
    <w:p w14:paraId="0CDCE16A" w14:textId="69CEC266" w:rsidR="00EA7896" w:rsidRPr="00CF309A" w:rsidRDefault="0021784A" w:rsidP="00CF309A">
      <w:pPr>
        <w:pStyle w:val="ListParagraph"/>
        <w:numPr>
          <w:ilvl w:val="0"/>
          <w:numId w:val="8"/>
        </w:numPr>
        <w:spacing w:after="120"/>
        <w:rPr>
          <w:rFonts w:eastAsia="Malgun Gothic"/>
        </w:rPr>
      </w:pPr>
      <w:r>
        <w:rPr>
          <w:rFonts w:eastAsia="Malgun Gothic"/>
        </w:rPr>
        <w:t>R</w:t>
      </w:r>
      <w:r w:rsidR="0007498E">
        <w:rPr>
          <w:rFonts w:eastAsia="Malgun Gothic"/>
        </w:rPr>
        <w:t xml:space="preserve">emind </w:t>
      </w:r>
      <w:r w:rsidR="00381730">
        <w:rPr>
          <w:rFonts w:eastAsia="Malgun Gothic"/>
        </w:rPr>
        <w:t>DCMs</w:t>
      </w:r>
      <w:r w:rsidR="00E94966">
        <w:rPr>
          <w:rFonts w:eastAsia="Malgun Gothic"/>
        </w:rPr>
        <w:t xml:space="preserve"> </w:t>
      </w:r>
      <w:r w:rsidR="0007498E">
        <w:rPr>
          <w:rFonts w:eastAsia="Malgun Gothic"/>
        </w:rPr>
        <w:t xml:space="preserve">of their discretion to implement more stringent </w:t>
      </w:r>
      <w:r w:rsidR="00F074E5">
        <w:rPr>
          <w:rFonts w:eastAsia="Malgun Gothic"/>
        </w:rPr>
        <w:t xml:space="preserve">quality standards </w:t>
      </w:r>
      <w:r w:rsidR="0007498E">
        <w:rPr>
          <w:rFonts w:eastAsia="Malgun Gothic"/>
        </w:rPr>
        <w:t>for VCC derivatives</w:t>
      </w:r>
      <w:r w:rsidR="00F074E5">
        <w:rPr>
          <w:rFonts w:eastAsia="Malgun Gothic"/>
        </w:rPr>
        <w:t>, including requirements that the underlying VCCs possess the characteristics of high-integrity VCCs</w:t>
      </w:r>
      <w:r w:rsidR="0007498E">
        <w:rPr>
          <w:rFonts w:eastAsia="Malgun Gothic"/>
        </w:rPr>
        <w:t>.</w:t>
      </w:r>
    </w:p>
    <w:p w14:paraId="27F1EA10" w14:textId="48BAFBD7" w:rsidR="008C19BF" w:rsidRDefault="00B54B5B" w:rsidP="00CF309A">
      <w:pPr>
        <w:spacing w:after="120" w:line="276" w:lineRule="auto"/>
        <w:rPr>
          <w:rFonts w:eastAsia="Malgun Gothic" w:cs="Times New Roman"/>
          <w:szCs w:val="20"/>
          <w:lang w:eastAsia="ko-KR"/>
        </w:rPr>
      </w:pPr>
      <w:r>
        <w:rPr>
          <w:rFonts w:eastAsia="Malgun Gothic" w:cs="Times New Roman"/>
          <w:szCs w:val="20"/>
          <w:lang w:eastAsia="ko-KR"/>
        </w:rPr>
        <w:lastRenderedPageBreak/>
        <w:t xml:space="preserve">Although </w:t>
      </w:r>
      <w:r w:rsidR="0007498E">
        <w:rPr>
          <w:rFonts w:eastAsia="Malgun Gothic" w:cs="Times New Roman"/>
          <w:szCs w:val="20"/>
          <w:lang w:eastAsia="ko-KR"/>
        </w:rPr>
        <w:t xml:space="preserve">the Guidance </w:t>
      </w:r>
      <w:r w:rsidR="002D1236">
        <w:rPr>
          <w:rFonts w:eastAsia="Malgun Gothic" w:cs="Times New Roman"/>
          <w:szCs w:val="20"/>
          <w:lang w:eastAsia="ko-KR"/>
        </w:rPr>
        <w:t xml:space="preserve">is </w:t>
      </w:r>
      <w:r>
        <w:rPr>
          <w:rFonts w:eastAsia="Malgun Gothic" w:cs="Times New Roman"/>
          <w:szCs w:val="20"/>
          <w:lang w:eastAsia="ko-KR"/>
        </w:rPr>
        <w:t xml:space="preserve">an important step </w:t>
      </w:r>
      <w:r w:rsidR="00E61B92">
        <w:rPr>
          <w:rFonts w:eastAsia="Malgun Gothic" w:cs="Times New Roman"/>
          <w:szCs w:val="20"/>
          <w:lang w:eastAsia="ko-KR"/>
        </w:rPr>
        <w:t>forward</w:t>
      </w:r>
      <w:r>
        <w:rPr>
          <w:rFonts w:eastAsia="Malgun Gothic" w:cs="Times New Roman"/>
          <w:szCs w:val="20"/>
          <w:lang w:eastAsia="ko-KR"/>
        </w:rPr>
        <w:t xml:space="preserve">, </w:t>
      </w:r>
      <w:r w:rsidR="00E94966">
        <w:rPr>
          <w:rFonts w:eastAsia="Malgun Gothic" w:cs="Times New Roman"/>
          <w:szCs w:val="20"/>
          <w:lang w:eastAsia="ko-KR"/>
        </w:rPr>
        <w:t>it</w:t>
      </w:r>
      <w:r w:rsidR="001B6DD5">
        <w:rPr>
          <w:rFonts w:eastAsia="Malgun Gothic" w:cs="Times New Roman"/>
          <w:szCs w:val="20"/>
          <w:lang w:eastAsia="ko-KR"/>
        </w:rPr>
        <w:t xml:space="preserve"> extends only to the relatively small market for VCC derivatives</w:t>
      </w:r>
      <w:r w:rsidR="002D1236">
        <w:rPr>
          <w:rFonts w:eastAsia="Malgun Gothic" w:cs="Times New Roman"/>
          <w:szCs w:val="20"/>
          <w:lang w:eastAsia="ko-KR"/>
        </w:rPr>
        <w:t xml:space="preserve"> and does not directly address many of the integrity problems in the much larger markets for VCCs</w:t>
      </w:r>
      <w:r w:rsidR="00F3248B">
        <w:rPr>
          <w:rFonts w:eastAsia="Malgun Gothic" w:cs="Times New Roman"/>
          <w:szCs w:val="20"/>
          <w:lang w:eastAsia="ko-KR"/>
        </w:rPr>
        <w:t xml:space="preserve"> themselves</w:t>
      </w:r>
      <w:r w:rsidR="00DB04D3">
        <w:rPr>
          <w:rFonts w:eastAsia="Malgun Gothic" w:cs="Times New Roman"/>
          <w:szCs w:val="20"/>
          <w:lang w:eastAsia="ko-KR"/>
        </w:rPr>
        <w:t>.</w:t>
      </w:r>
      <w:r w:rsidR="002D1236">
        <w:rPr>
          <w:rFonts w:eastAsia="Malgun Gothic" w:cs="Times New Roman"/>
          <w:szCs w:val="20"/>
          <w:lang w:eastAsia="ko-KR"/>
        </w:rPr>
        <w:t xml:space="preserve"> It could potentially</w:t>
      </w:r>
      <w:r w:rsidR="00275A2B">
        <w:rPr>
          <w:rFonts w:eastAsia="Malgun Gothic" w:cs="Times New Roman"/>
          <w:szCs w:val="20"/>
          <w:lang w:eastAsia="ko-KR"/>
        </w:rPr>
        <w:t xml:space="preserve"> </w:t>
      </w:r>
      <w:r w:rsidR="0014265C">
        <w:rPr>
          <w:rFonts w:eastAsia="Malgun Gothic" w:cs="Times New Roman"/>
          <w:szCs w:val="20"/>
          <w:lang w:eastAsia="ko-KR"/>
        </w:rPr>
        <w:t xml:space="preserve">improve </w:t>
      </w:r>
      <w:r w:rsidR="002D1236">
        <w:rPr>
          <w:rFonts w:eastAsia="Malgun Gothic" w:cs="Times New Roman"/>
          <w:szCs w:val="20"/>
          <w:lang w:eastAsia="ko-KR"/>
        </w:rPr>
        <w:t>these other markets,</w:t>
      </w:r>
      <w:r w:rsidR="0014265C">
        <w:rPr>
          <w:rFonts w:eastAsia="Malgun Gothic" w:cs="Times New Roman"/>
          <w:szCs w:val="20"/>
          <w:lang w:eastAsia="ko-KR"/>
        </w:rPr>
        <w:t xml:space="preserve"> </w:t>
      </w:r>
      <w:r w:rsidR="00DB04D3">
        <w:rPr>
          <w:rFonts w:eastAsia="Malgun Gothic" w:cs="Times New Roman"/>
          <w:szCs w:val="20"/>
          <w:lang w:eastAsia="ko-KR"/>
        </w:rPr>
        <w:t>but</w:t>
      </w:r>
      <w:r w:rsidR="002D1236">
        <w:rPr>
          <w:rFonts w:eastAsia="Malgun Gothic" w:cs="Times New Roman"/>
          <w:szCs w:val="20"/>
          <w:lang w:eastAsia="ko-KR"/>
        </w:rPr>
        <w:t xml:space="preserve"> it would do so</w:t>
      </w:r>
      <w:r w:rsidR="00DB04D3">
        <w:rPr>
          <w:rFonts w:eastAsia="Malgun Gothic" w:cs="Times New Roman"/>
          <w:szCs w:val="20"/>
          <w:lang w:eastAsia="ko-KR"/>
        </w:rPr>
        <w:t xml:space="preserve"> only</w:t>
      </w:r>
      <w:r w:rsidR="003211B8">
        <w:rPr>
          <w:rFonts w:eastAsia="Malgun Gothic" w:cs="Times New Roman"/>
          <w:szCs w:val="20"/>
          <w:lang w:eastAsia="ko-KR"/>
        </w:rPr>
        <w:t xml:space="preserve"> </w:t>
      </w:r>
      <w:r w:rsidR="00DB04D3">
        <w:rPr>
          <w:rFonts w:eastAsia="Malgun Gothic" w:cs="Times New Roman"/>
          <w:szCs w:val="20"/>
          <w:lang w:eastAsia="ko-KR"/>
        </w:rPr>
        <w:t xml:space="preserve">indirectly </w:t>
      </w:r>
      <w:r w:rsidR="0014265C">
        <w:rPr>
          <w:rFonts w:eastAsia="Malgun Gothic" w:cs="Times New Roman"/>
          <w:szCs w:val="20"/>
          <w:lang w:eastAsia="ko-KR"/>
        </w:rPr>
        <w:t>by identifying key characteristics of high-integrity VCCs</w:t>
      </w:r>
      <w:r w:rsidR="002D1236">
        <w:rPr>
          <w:rFonts w:eastAsia="Malgun Gothic" w:cs="Times New Roman"/>
          <w:szCs w:val="20"/>
          <w:lang w:eastAsia="ko-KR"/>
        </w:rPr>
        <w:t xml:space="preserve"> for market participants to consider</w:t>
      </w:r>
      <w:r w:rsidR="001B6DD5">
        <w:rPr>
          <w:rFonts w:eastAsia="Malgun Gothic" w:cs="Times New Roman"/>
          <w:szCs w:val="20"/>
          <w:lang w:eastAsia="ko-KR"/>
        </w:rPr>
        <w:t>.</w:t>
      </w:r>
      <w:r w:rsidR="00112F3A">
        <w:rPr>
          <w:rFonts w:eastAsia="Malgun Gothic" w:cs="Times New Roman"/>
          <w:szCs w:val="20"/>
          <w:lang w:eastAsia="ko-KR"/>
        </w:rPr>
        <w:t xml:space="preserve"> </w:t>
      </w:r>
    </w:p>
    <w:p w14:paraId="18193A6F" w14:textId="653AD269" w:rsidR="00FD3732" w:rsidRPr="00CB6C63" w:rsidRDefault="00BB6914" w:rsidP="00CF309A">
      <w:pPr>
        <w:spacing w:after="120" w:line="276" w:lineRule="auto"/>
      </w:pPr>
      <w:r>
        <w:rPr>
          <w:rFonts w:eastAsia="Malgun Gothic" w:cs="Times New Roman"/>
          <w:szCs w:val="20"/>
          <w:lang w:eastAsia="ko-KR"/>
        </w:rPr>
        <w:t>Th</w:t>
      </w:r>
      <w:r w:rsidR="00FD3732">
        <w:rPr>
          <w:rFonts w:eastAsia="Malgun Gothic" w:cs="Times New Roman"/>
          <w:szCs w:val="20"/>
          <w:lang w:eastAsia="ko-KR"/>
        </w:rPr>
        <w:t xml:space="preserve">e </w:t>
      </w:r>
      <w:r>
        <w:rPr>
          <w:rFonts w:eastAsia="Malgun Gothic" w:cs="Times New Roman"/>
          <w:szCs w:val="20"/>
          <w:lang w:eastAsia="ko-KR"/>
        </w:rPr>
        <w:t xml:space="preserve">Commission should </w:t>
      </w:r>
      <w:r w:rsidR="00FD3732">
        <w:rPr>
          <w:rFonts w:eastAsia="Malgun Gothic" w:cs="Times New Roman"/>
          <w:szCs w:val="20"/>
          <w:lang w:eastAsia="ko-KR"/>
        </w:rPr>
        <w:t xml:space="preserve">explore whether it has </w:t>
      </w:r>
      <w:r w:rsidR="008B2DE3">
        <w:rPr>
          <w:rFonts w:eastAsia="Malgun Gothic" w:cs="Times New Roman"/>
          <w:szCs w:val="20"/>
          <w:lang w:eastAsia="ko-KR"/>
        </w:rPr>
        <w:t xml:space="preserve">additional </w:t>
      </w:r>
      <w:r w:rsidR="00FD3732">
        <w:rPr>
          <w:rFonts w:eastAsia="Malgun Gothic" w:cs="Times New Roman"/>
          <w:szCs w:val="20"/>
          <w:lang w:eastAsia="ko-KR"/>
        </w:rPr>
        <w:t>authority to further address these problems with VCC integrity</w:t>
      </w:r>
      <w:r w:rsidR="0014265C">
        <w:rPr>
          <w:rFonts w:eastAsia="Malgun Gothic" w:cs="Times New Roman"/>
          <w:szCs w:val="20"/>
          <w:lang w:eastAsia="ko-KR"/>
        </w:rPr>
        <w:t>,</w:t>
      </w:r>
      <w:r w:rsidR="00FD3732">
        <w:rPr>
          <w:rFonts w:eastAsia="Malgun Gothic" w:cs="Times New Roman"/>
          <w:szCs w:val="20"/>
          <w:lang w:eastAsia="ko-KR"/>
        </w:rPr>
        <w:t xml:space="preserve"> and </w:t>
      </w:r>
      <w:r w:rsidR="0014265C">
        <w:rPr>
          <w:rFonts w:eastAsia="Malgun Gothic" w:cs="Times New Roman"/>
          <w:szCs w:val="20"/>
          <w:lang w:eastAsia="ko-KR"/>
        </w:rPr>
        <w:t>it should</w:t>
      </w:r>
      <w:r w:rsidR="00FD3732">
        <w:rPr>
          <w:rFonts w:eastAsia="Malgun Gothic" w:cs="Times New Roman"/>
          <w:szCs w:val="20"/>
          <w:lang w:eastAsia="ko-KR"/>
        </w:rPr>
        <w:t xml:space="preserve"> collaborate with peer regulators to understand </w:t>
      </w:r>
      <w:r w:rsidR="007976CE">
        <w:rPr>
          <w:rFonts w:eastAsia="Malgun Gothic" w:cs="Times New Roman"/>
          <w:szCs w:val="20"/>
          <w:lang w:eastAsia="ko-KR"/>
        </w:rPr>
        <w:t xml:space="preserve">any </w:t>
      </w:r>
      <w:r w:rsidR="00FD3732">
        <w:rPr>
          <w:rFonts w:eastAsia="Malgun Gothic" w:cs="Times New Roman"/>
          <w:szCs w:val="20"/>
          <w:lang w:eastAsia="ko-KR"/>
        </w:rPr>
        <w:t>existing authorit</w:t>
      </w:r>
      <w:r w:rsidR="007976CE">
        <w:rPr>
          <w:rFonts w:eastAsia="Malgun Gothic" w:cs="Times New Roman"/>
          <w:szCs w:val="20"/>
          <w:lang w:eastAsia="ko-KR"/>
        </w:rPr>
        <w:t>y</w:t>
      </w:r>
      <w:r w:rsidR="00FD3732">
        <w:rPr>
          <w:rFonts w:eastAsia="Malgun Gothic" w:cs="Times New Roman"/>
          <w:szCs w:val="20"/>
          <w:lang w:eastAsia="ko-KR"/>
        </w:rPr>
        <w:t xml:space="preserve"> </w:t>
      </w:r>
      <w:r w:rsidR="007976CE">
        <w:rPr>
          <w:rFonts w:eastAsia="Malgun Gothic" w:cs="Times New Roman"/>
          <w:szCs w:val="20"/>
          <w:lang w:eastAsia="ko-KR"/>
        </w:rPr>
        <w:t>they have</w:t>
      </w:r>
      <w:r w:rsidR="00FD3732">
        <w:rPr>
          <w:rFonts w:eastAsia="Malgun Gothic" w:cs="Times New Roman"/>
          <w:szCs w:val="20"/>
          <w:lang w:eastAsia="ko-KR"/>
        </w:rPr>
        <w:t xml:space="preserve">. </w:t>
      </w:r>
      <w:r>
        <w:t xml:space="preserve">If </w:t>
      </w:r>
      <w:r w:rsidR="00B11016">
        <w:t xml:space="preserve">the Commission </w:t>
      </w:r>
      <w:r>
        <w:t xml:space="preserve">deems existing statutes insufficient to </w:t>
      </w:r>
      <w:r w:rsidR="00F15E47">
        <w:t>rectify these problems with VCC integrity</w:t>
      </w:r>
      <w:r>
        <w:t xml:space="preserve">, </w:t>
      </w:r>
      <w:r w:rsidR="00FD3732">
        <w:t xml:space="preserve">the Commission (and its peer regulators) </w:t>
      </w:r>
      <w:r>
        <w:t xml:space="preserve">should </w:t>
      </w:r>
      <w:r w:rsidR="00FD3732">
        <w:t xml:space="preserve">identify the best-positioned agency or agencies to </w:t>
      </w:r>
      <w:r w:rsidR="007D45A2">
        <w:t>fill the</w:t>
      </w:r>
      <w:r w:rsidR="00F15E47">
        <w:t xml:space="preserve"> regulatory</w:t>
      </w:r>
      <w:r w:rsidR="007976CE">
        <w:t xml:space="preserve"> gap</w:t>
      </w:r>
      <w:r>
        <w:t xml:space="preserve"> and should </w:t>
      </w:r>
      <w:r w:rsidR="00FD3732">
        <w:t xml:space="preserve">seek </w:t>
      </w:r>
      <w:r w:rsidR="005140B3">
        <w:t xml:space="preserve">any </w:t>
      </w:r>
      <w:r w:rsidR="00FD3732">
        <w:t>additional authority need</w:t>
      </w:r>
      <w:r w:rsidR="005140B3">
        <w:t>ed</w:t>
      </w:r>
      <w:r w:rsidR="00FD3732">
        <w:t xml:space="preserve"> from Congress to </w:t>
      </w:r>
      <w:r w:rsidR="00F15E47">
        <w:t>ensure well-functioning markets</w:t>
      </w:r>
      <w:r w:rsidR="00E35ED6">
        <w:t xml:space="preserve"> for high-integrity VCCs</w:t>
      </w:r>
      <w:r w:rsidR="00FD3732">
        <w:t>.</w:t>
      </w:r>
    </w:p>
    <w:p w14:paraId="530FFD65" w14:textId="76FD88A3" w:rsidR="00C7173B" w:rsidRPr="00C7173B" w:rsidRDefault="00C7173B" w:rsidP="00AE0F40">
      <w:pPr>
        <w:keepNext/>
        <w:spacing w:after="120" w:line="276" w:lineRule="auto"/>
        <w:jc w:val="center"/>
        <w:rPr>
          <w:rFonts w:eastAsia="Malgun Gothic" w:cs="Times New Roman"/>
          <w:szCs w:val="20"/>
          <w:lang w:eastAsia="ko-KR"/>
        </w:rPr>
      </w:pPr>
      <w:r w:rsidRPr="00C7173B">
        <w:rPr>
          <w:rFonts w:eastAsia="Malgun Gothic" w:cs="Times New Roman"/>
          <w:b/>
          <w:szCs w:val="20"/>
          <w:u w:val="single"/>
          <w:lang w:eastAsia="ko-KR"/>
        </w:rPr>
        <w:t>Background</w:t>
      </w:r>
    </w:p>
    <w:p w14:paraId="19AC7E37" w14:textId="21F8E1C8" w:rsidR="0046445E" w:rsidRDefault="007D45A2" w:rsidP="00CF309A">
      <w:pPr>
        <w:spacing w:after="120" w:line="276" w:lineRule="auto"/>
        <w:rPr>
          <w:rFonts w:eastAsia="Malgun Gothic" w:cs="Times New Roman"/>
          <w:szCs w:val="20"/>
          <w:lang w:eastAsia="ko-KR"/>
        </w:rPr>
      </w:pPr>
      <w:r>
        <w:rPr>
          <w:rFonts w:eastAsia="Malgun Gothic" w:cs="Times New Roman"/>
          <w:szCs w:val="20"/>
          <w:lang w:eastAsia="ko-KR"/>
        </w:rPr>
        <w:t>V</w:t>
      </w:r>
      <w:r w:rsidR="005B2C50">
        <w:rPr>
          <w:rFonts w:eastAsia="Malgun Gothic" w:cs="Times New Roman"/>
          <w:szCs w:val="20"/>
          <w:lang w:eastAsia="ko-KR"/>
        </w:rPr>
        <w:t>oluntary</w:t>
      </w:r>
      <w:r w:rsidR="001351C7">
        <w:rPr>
          <w:rFonts w:eastAsia="Malgun Gothic" w:cs="Times New Roman"/>
          <w:szCs w:val="20"/>
          <w:lang w:eastAsia="ko-KR"/>
        </w:rPr>
        <w:t xml:space="preserve"> carbon market</w:t>
      </w:r>
      <w:r>
        <w:rPr>
          <w:rFonts w:eastAsia="Malgun Gothic" w:cs="Times New Roman"/>
          <w:szCs w:val="20"/>
          <w:lang w:eastAsia="ko-KR"/>
        </w:rPr>
        <w:t>s</w:t>
      </w:r>
      <w:r w:rsidR="00F64356">
        <w:rPr>
          <w:rStyle w:val="FootnoteReference"/>
          <w:rFonts w:eastAsia="Malgun Gothic" w:cs="Times New Roman"/>
          <w:szCs w:val="20"/>
          <w:lang w:eastAsia="ko-KR"/>
        </w:rPr>
        <w:footnoteReference w:id="3"/>
      </w:r>
      <w:r w:rsidR="001351C7">
        <w:rPr>
          <w:rFonts w:eastAsia="Malgun Gothic" w:cs="Times New Roman"/>
          <w:szCs w:val="20"/>
          <w:lang w:eastAsia="ko-KR"/>
        </w:rPr>
        <w:t xml:space="preserve"> enable </w:t>
      </w:r>
      <w:r w:rsidR="00F007A8">
        <w:rPr>
          <w:rFonts w:eastAsia="Malgun Gothic" w:cs="Times New Roman"/>
          <w:szCs w:val="20"/>
          <w:lang w:eastAsia="ko-KR"/>
        </w:rPr>
        <w:t>buyer</w:t>
      </w:r>
      <w:r w:rsidR="001351C7">
        <w:rPr>
          <w:rFonts w:eastAsia="Malgun Gothic" w:cs="Times New Roman"/>
          <w:szCs w:val="20"/>
          <w:lang w:eastAsia="ko-KR"/>
        </w:rPr>
        <w:t>s</w:t>
      </w:r>
      <w:r w:rsidR="00F007A8">
        <w:rPr>
          <w:rFonts w:eastAsia="Malgun Gothic" w:cs="Times New Roman"/>
          <w:szCs w:val="20"/>
          <w:lang w:eastAsia="ko-KR"/>
        </w:rPr>
        <w:t xml:space="preserve"> </w:t>
      </w:r>
      <w:r w:rsidR="001351C7">
        <w:rPr>
          <w:rFonts w:eastAsia="Malgun Gothic" w:cs="Times New Roman"/>
          <w:szCs w:val="20"/>
          <w:lang w:eastAsia="ko-KR"/>
        </w:rPr>
        <w:t>(</w:t>
      </w:r>
      <w:r w:rsidR="00000CFC">
        <w:rPr>
          <w:rFonts w:eastAsia="Malgun Gothic" w:cs="Times New Roman"/>
          <w:szCs w:val="20"/>
          <w:lang w:eastAsia="ko-KR"/>
        </w:rPr>
        <w:t xml:space="preserve">often </w:t>
      </w:r>
      <w:r w:rsidR="001351C7">
        <w:rPr>
          <w:rFonts w:eastAsia="Malgun Gothic" w:cs="Times New Roman"/>
          <w:szCs w:val="20"/>
          <w:lang w:eastAsia="ko-KR"/>
        </w:rPr>
        <w:t xml:space="preserve">corporations with net-zero pledges) </w:t>
      </w:r>
      <w:r w:rsidR="00F007A8">
        <w:rPr>
          <w:rFonts w:eastAsia="Malgun Gothic" w:cs="Times New Roman"/>
          <w:szCs w:val="20"/>
          <w:lang w:eastAsia="ko-KR"/>
        </w:rPr>
        <w:t>to purchase VCCs that represent greenhouse gas (GHG) emissi</w:t>
      </w:r>
      <w:r w:rsidR="001351C7">
        <w:rPr>
          <w:rFonts w:eastAsia="Malgun Gothic" w:cs="Times New Roman"/>
          <w:szCs w:val="20"/>
          <w:lang w:eastAsia="ko-KR"/>
        </w:rPr>
        <w:t xml:space="preserve">ons reductions or removals </w:t>
      </w:r>
      <w:r w:rsidR="009D2B19">
        <w:rPr>
          <w:rFonts w:eastAsia="Malgun Gothic" w:cs="Times New Roman"/>
          <w:szCs w:val="20"/>
          <w:lang w:eastAsia="ko-KR"/>
        </w:rPr>
        <w:t>from</w:t>
      </w:r>
      <w:r w:rsidR="001351C7">
        <w:rPr>
          <w:rFonts w:eastAsia="Malgun Gothic" w:cs="Times New Roman"/>
          <w:szCs w:val="20"/>
          <w:lang w:eastAsia="ko-KR"/>
        </w:rPr>
        <w:t xml:space="preserve"> </w:t>
      </w:r>
      <w:r w:rsidR="00F007A8">
        <w:rPr>
          <w:rFonts w:eastAsia="Malgun Gothic" w:cs="Times New Roman"/>
          <w:szCs w:val="20"/>
          <w:lang w:eastAsia="ko-KR"/>
        </w:rPr>
        <w:t>project developer</w:t>
      </w:r>
      <w:r w:rsidR="001351C7">
        <w:rPr>
          <w:rFonts w:eastAsia="Malgun Gothic" w:cs="Times New Roman"/>
          <w:szCs w:val="20"/>
          <w:lang w:eastAsia="ko-KR"/>
        </w:rPr>
        <w:t>s</w:t>
      </w:r>
      <w:r w:rsidR="00E61B92">
        <w:rPr>
          <w:rFonts w:eastAsia="Malgun Gothic" w:cs="Times New Roman"/>
          <w:szCs w:val="20"/>
          <w:lang w:eastAsia="ko-KR"/>
        </w:rPr>
        <w:t>.</w:t>
      </w:r>
      <w:r w:rsidR="00000CFC" w:rsidRPr="00E61B92">
        <w:rPr>
          <w:rStyle w:val="FootnoteReference"/>
          <w:rFonts w:eastAsia="Malgun Gothic" w:cs="Times New Roman"/>
          <w:szCs w:val="20"/>
          <w:lang w:eastAsia="ko-KR"/>
        </w:rPr>
        <w:footnoteReference w:id="4"/>
      </w:r>
      <w:r w:rsidR="00000CFC" w:rsidRPr="00CF309A">
        <w:rPr>
          <w:rStyle w:val="FootnoteReference"/>
        </w:rPr>
        <w:t xml:space="preserve"> </w:t>
      </w:r>
      <w:r w:rsidR="00B5003A">
        <w:t>A third-party crediting program certifies each project and issues the VCCs based on an estimate of the emissions reductions or removals the project will generate.</w:t>
      </w:r>
      <w:r w:rsidR="00B5003A">
        <w:rPr>
          <w:rStyle w:val="FootnoteReference"/>
        </w:rPr>
        <w:footnoteReference w:id="5"/>
      </w:r>
    </w:p>
    <w:p w14:paraId="56C7D2DE" w14:textId="73564EFA" w:rsidR="000E6998" w:rsidRDefault="002507AD" w:rsidP="00CF309A">
      <w:pPr>
        <w:spacing w:after="120" w:line="276" w:lineRule="auto"/>
        <w:rPr>
          <w:rFonts w:eastAsia="Malgun Gothic" w:cs="Times New Roman"/>
          <w:szCs w:val="20"/>
          <w:lang w:eastAsia="ko-KR"/>
        </w:rPr>
      </w:pPr>
      <w:r>
        <w:rPr>
          <w:rFonts w:eastAsia="Malgun Gothic" w:cs="Times New Roman"/>
          <w:szCs w:val="20"/>
          <w:lang w:eastAsia="ko-KR"/>
        </w:rPr>
        <w:t>In 2011, the Interagency Working Group for the Study and Oversight of Carbon Markets</w:t>
      </w:r>
      <w:r w:rsidR="00000CFC">
        <w:rPr>
          <w:rFonts w:eastAsia="Malgun Gothic" w:cs="Times New Roman"/>
          <w:szCs w:val="20"/>
          <w:lang w:eastAsia="ko-KR"/>
        </w:rPr>
        <w:t xml:space="preserve"> </w:t>
      </w:r>
      <w:r>
        <w:rPr>
          <w:rFonts w:eastAsia="Malgun Gothic" w:cs="Times New Roman"/>
          <w:szCs w:val="20"/>
          <w:lang w:eastAsia="ko-KR"/>
        </w:rPr>
        <w:t xml:space="preserve">published a report (the Working Group Report) that </w:t>
      </w:r>
      <w:r w:rsidR="0046445E">
        <w:rPr>
          <w:rFonts w:eastAsia="Malgun Gothic" w:cs="Times New Roman"/>
          <w:szCs w:val="20"/>
          <w:lang w:eastAsia="ko-KR"/>
        </w:rPr>
        <w:t>distinguishes among three components of voluntary carbon markets</w:t>
      </w:r>
      <w:r w:rsidR="000E6998">
        <w:rPr>
          <w:rFonts w:eastAsia="Malgun Gothic" w:cs="Times New Roman"/>
          <w:szCs w:val="20"/>
          <w:lang w:eastAsia="ko-KR"/>
        </w:rPr>
        <w:t>: primary market</w:t>
      </w:r>
      <w:r w:rsidR="007D45A2">
        <w:rPr>
          <w:rFonts w:eastAsia="Malgun Gothic" w:cs="Times New Roman"/>
          <w:szCs w:val="20"/>
          <w:lang w:eastAsia="ko-KR"/>
        </w:rPr>
        <w:t>s</w:t>
      </w:r>
      <w:r w:rsidR="000E6998">
        <w:rPr>
          <w:rFonts w:eastAsia="Malgun Gothic" w:cs="Times New Roman"/>
          <w:szCs w:val="20"/>
          <w:lang w:eastAsia="ko-KR"/>
        </w:rPr>
        <w:t>, secondary market</w:t>
      </w:r>
      <w:r w:rsidR="007D45A2">
        <w:rPr>
          <w:rFonts w:eastAsia="Malgun Gothic" w:cs="Times New Roman"/>
          <w:szCs w:val="20"/>
          <w:lang w:eastAsia="ko-KR"/>
        </w:rPr>
        <w:t>s</w:t>
      </w:r>
      <w:r w:rsidR="000E6998">
        <w:rPr>
          <w:rFonts w:eastAsia="Malgun Gothic" w:cs="Times New Roman"/>
          <w:szCs w:val="20"/>
          <w:lang w:eastAsia="ko-KR"/>
        </w:rPr>
        <w:t>, and derivative market</w:t>
      </w:r>
      <w:r w:rsidR="007D45A2">
        <w:rPr>
          <w:rFonts w:eastAsia="Malgun Gothic" w:cs="Times New Roman"/>
          <w:szCs w:val="20"/>
          <w:lang w:eastAsia="ko-KR"/>
        </w:rPr>
        <w:t>s</w:t>
      </w:r>
      <w:r w:rsidR="0046445E">
        <w:rPr>
          <w:rFonts w:eastAsia="Malgun Gothic" w:cs="Times New Roman"/>
          <w:szCs w:val="20"/>
          <w:lang w:eastAsia="ko-KR"/>
        </w:rPr>
        <w:t>.</w:t>
      </w:r>
      <w:r w:rsidR="0046445E">
        <w:rPr>
          <w:rStyle w:val="FootnoteReference"/>
          <w:rFonts w:eastAsia="Malgun Gothic" w:cs="Times New Roman"/>
          <w:szCs w:val="20"/>
          <w:lang w:eastAsia="ko-KR"/>
        </w:rPr>
        <w:footnoteReference w:id="6"/>
      </w:r>
    </w:p>
    <w:p w14:paraId="32C6CA2B" w14:textId="563E9D72" w:rsidR="00502513" w:rsidRDefault="00F64356" w:rsidP="00CF309A">
      <w:pPr>
        <w:spacing w:after="120" w:line="276" w:lineRule="auto"/>
        <w:rPr>
          <w:rFonts w:eastAsia="Malgun Gothic" w:cs="Times New Roman"/>
          <w:szCs w:val="20"/>
          <w:lang w:eastAsia="ko-KR"/>
        </w:rPr>
      </w:pPr>
      <w:r>
        <w:rPr>
          <w:rFonts w:eastAsia="Malgun Gothic" w:cs="Times New Roman"/>
          <w:szCs w:val="20"/>
          <w:lang w:eastAsia="ko-KR"/>
        </w:rPr>
        <w:t>Primary</w:t>
      </w:r>
      <w:r w:rsidR="0096020C">
        <w:rPr>
          <w:rFonts w:eastAsia="Malgun Gothic" w:cs="Times New Roman"/>
          <w:szCs w:val="20"/>
          <w:lang w:eastAsia="ko-KR"/>
        </w:rPr>
        <w:t xml:space="preserve"> market</w:t>
      </w:r>
      <w:r w:rsidR="007D45A2">
        <w:rPr>
          <w:rFonts w:eastAsia="Malgun Gothic" w:cs="Times New Roman"/>
          <w:szCs w:val="20"/>
          <w:lang w:eastAsia="ko-KR"/>
        </w:rPr>
        <w:t>s</w:t>
      </w:r>
      <w:r w:rsidR="0096020C">
        <w:rPr>
          <w:rFonts w:eastAsia="Malgun Gothic" w:cs="Times New Roman"/>
          <w:szCs w:val="20"/>
          <w:lang w:eastAsia="ko-KR"/>
        </w:rPr>
        <w:t xml:space="preserve"> refer to</w:t>
      </w:r>
      <w:r w:rsidR="005B2C50">
        <w:rPr>
          <w:rFonts w:eastAsia="Malgun Gothic" w:cs="Times New Roman"/>
          <w:szCs w:val="20"/>
          <w:lang w:eastAsia="ko-KR"/>
        </w:rPr>
        <w:t xml:space="preserve"> the introduction of VCCs into the marketplace</w:t>
      </w:r>
      <w:r w:rsidR="0096020C">
        <w:rPr>
          <w:rFonts w:eastAsia="Malgun Gothic" w:cs="Times New Roman"/>
          <w:szCs w:val="20"/>
          <w:lang w:eastAsia="ko-KR"/>
        </w:rPr>
        <w:t xml:space="preserve"> through </w:t>
      </w:r>
      <w:r w:rsidR="005B2C50">
        <w:rPr>
          <w:rFonts w:eastAsia="Malgun Gothic" w:cs="Times New Roman"/>
          <w:szCs w:val="20"/>
          <w:lang w:eastAsia="ko-KR"/>
        </w:rPr>
        <w:t>certification</w:t>
      </w:r>
      <w:r w:rsidR="0096020C">
        <w:rPr>
          <w:rFonts w:eastAsia="Malgun Gothic" w:cs="Times New Roman"/>
          <w:szCs w:val="20"/>
          <w:lang w:eastAsia="ko-KR"/>
        </w:rPr>
        <w:t xml:space="preserve"> by crediting programs</w:t>
      </w:r>
      <w:r w:rsidR="005B2C50">
        <w:rPr>
          <w:rFonts w:eastAsia="Malgun Gothic" w:cs="Times New Roman"/>
          <w:szCs w:val="20"/>
          <w:lang w:eastAsia="ko-KR"/>
        </w:rPr>
        <w:t>.</w:t>
      </w:r>
      <w:r w:rsidR="005B2C50">
        <w:rPr>
          <w:rStyle w:val="FootnoteReference"/>
          <w:rFonts w:eastAsia="Malgun Gothic" w:cs="Times New Roman"/>
          <w:szCs w:val="20"/>
          <w:lang w:eastAsia="ko-KR"/>
        </w:rPr>
        <w:footnoteReference w:id="7"/>
      </w:r>
      <w:r w:rsidR="005B2C50">
        <w:rPr>
          <w:rFonts w:eastAsia="Malgun Gothic" w:cs="Times New Roman"/>
          <w:szCs w:val="20"/>
          <w:lang w:eastAsia="ko-KR"/>
        </w:rPr>
        <w:t xml:space="preserve"> </w:t>
      </w:r>
      <w:r w:rsidR="00681D9A">
        <w:rPr>
          <w:rFonts w:eastAsia="Malgun Gothic" w:cs="Times New Roman"/>
          <w:szCs w:val="20"/>
          <w:lang w:eastAsia="ko-KR"/>
        </w:rPr>
        <w:t xml:space="preserve">After VCCs </w:t>
      </w:r>
      <w:r w:rsidR="0096020C">
        <w:rPr>
          <w:rFonts w:eastAsia="Malgun Gothic" w:cs="Times New Roman"/>
          <w:szCs w:val="20"/>
          <w:lang w:eastAsia="ko-KR"/>
        </w:rPr>
        <w:t>are certified</w:t>
      </w:r>
      <w:r w:rsidR="000654B9">
        <w:rPr>
          <w:rFonts w:eastAsia="Malgun Gothic" w:cs="Times New Roman"/>
          <w:szCs w:val="20"/>
          <w:lang w:eastAsia="ko-KR"/>
        </w:rPr>
        <w:t xml:space="preserve"> but before they are retired</w:t>
      </w:r>
      <w:r w:rsidR="00681D9A">
        <w:rPr>
          <w:rFonts w:eastAsia="Malgun Gothic" w:cs="Times New Roman"/>
          <w:szCs w:val="20"/>
          <w:lang w:eastAsia="ko-KR"/>
        </w:rPr>
        <w:t>, market participants can</w:t>
      </w:r>
      <w:r w:rsidR="0096020C">
        <w:rPr>
          <w:rFonts w:eastAsia="Malgun Gothic" w:cs="Times New Roman"/>
          <w:szCs w:val="20"/>
          <w:lang w:eastAsia="ko-KR"/>
        </w:rPr>
        <w:t xml:space="preserve"> purchase and</w:t>
      </w:r>
      <w:r w:rsidR="000654B9">
        <w:rPr>
          <w:rFonts w:eastAsia="Malgun Gothic" w:cs="Times New Roman"/>
          <w:szCs w:val="20"/>
          <w:lang w:eastAsia="ko-KR"/>
        </w:rPr>
        <w:t xml:space="preserve"> trade them on secondary market</w:t>
      </w:r>
      <w:r w:rsidR="00B5003A">
        <w:rPr>
          <w:rFonts w:eastAsia="Malgun Gothic" w:cs="Times New Roman"/>
          <w:szCs w:val="20"/>
          <w:lang w:eastAsia="ko-KR"/>
        </w:rPr>
        <w:t>s</w:t>
      </w:r>
      <w:r w:rsidR="005B2C50">
        <w:rPr>
          <w:rFonts w:eastAsia="Malgun Gothic" w:cs="Times New Roman"/>
          <w:szCs w:val="20"/>
          <w:lang w:eastAsia="ko-KR"/>
        </w:rPr>
        <w:t>.</w:t>
      </w:r>
      <w:r w:rsidR="005B2C50">
        <w:rPr>
          <w:rStyle w:val="FootnoteReference"/>
          <w:rFonts w:eastAsia="Malgun Gothic" w:cs="Times New Roman"/>
          <w:szCs w:val="20"/>
          <w:lang w:eastAsia="ko-KR"/>
        </w:rPr>
        <w:footnoteReference w:id="8"/>
      </w:r>
      <w:r w:rsidR="005B2C50">
        <w:rPr>
          <w:rFonts w:eastAsia="Malgun Gothic" w:cs="Times New Roman"/>
          <w:szCs w:val="20"/>
          <w:lang w:eastAsia="ko-KR"/>
        </w:rPr>
        <w:t xml:space="preserve"> </w:t>
      </w:r>
      <w:r w:rsidR="00B5003A">
        <w:rPr>
          <w:rFonts w:eastAsia="Malgun Gothic" w:cs="Times New Roman"/>
          <w:szCs w:val="20"/>
          <w:lang w:eastAsia="ko-KR"/>
        </w:rPr>
        <w:t>S</w:t>
      </w:r>
      <w:r w:rsidR="000654B9">
        <w:rPr>
          <w:rFonts w:eastAsia="Malgun Gothic" w:cs="Times New Roman"/>
          <w:szCs w:val="20"/>
          <w:lang w:eastAsia="ko-KR"/>
        </w:rPr>
        <w:t>econdary marke</w:t>
      </w:r>
      <w:r w:rsidR="00B5003A">
        <w:rPr>
          <w:rFonts w:eastAsia="Malgun Gothic" w:cs="Times New Roman"/>
          <w:szCs w:val="20"/>
          <w:lang w:eastAsia="ko-KR"/>
        </w:rPr>
        <w:t>ts</w:t>
      </w:r>
      <w:r w:rsidR="000654B9">
        <w:rPr>
          <w:rFonts w:eastAsia="Malgun Gothic" w:cs="Times New Roman"/>
          <w:szCs w:val="20"/>
          <w:lang w:eastAsia="ko-KR"/>
        </w:rPr>
        <w:t xml:space="preserve"> feature both </w:t>
      </w:r>
      <w:r w:rsidR="00B5003A">
        <w:rPr>
          <w:rFonts w:eastAsia="Malgun Gothic" w:cs="Times New Roman"/>
          <w:szCs w:val="20"/>
          <w:lang w:eastAsia="ko-KR"/>
        </w:rPr>
        <w:t xml:space="preserve">spot and </w:t>
      </w:r>
      <w:r w:rsidR="00B5003A">
        <w:rPr>
          <w:rFonts w:eastAsia="Malgun Gothic" w:cs="Times New Roman"/>
          <w:szCs w:val="20"/>
          <w:lang w:eastAsia="ko-KR"/>
        </w:rPr>
        <w:lastRenderedPageBreak/>
        <w:t>forward transactions</w:t>
      </w:r>
      <w:r w:rsidR="000654B9">
        <w:rPr>
          <w:rFonts w:eastAsia="Malgun Gothic" w:cs="Times New Roman"/>
          <w:szCs w:val="20"/>
          <w:lang w:eastAsia="ko-KR"/>
        </w:rPr>
        <w:t>.</w:t>
      </w:r>
      <w:r w:rsidR="000654B9">
        <w:rPr>
          <w:rStyle w:val="FootnoteReference"/>
          <w:rFonts w:eastAsia="Malgun Gothic" w:cs="Times New Roman"/>
          <w:szCs w:val="20"/>
          <w:lang w:eastAsia="ko-KR"/>
        </w:rPr>
        <w:footnoteReference w:id="9"/>
      </w:r>
      <w:r w:rsidR="000654B9">
        <w:rPr>
          <w:rFonts w:eastAsia="Malgun Gothic" w:cs="Times New Roman"/>
          <w:szCs w:val="20"/>
          <w:lang w:eastAsia="ko-KR"/>
        </w:rPr>
        <w:t xml:space="preserve"> A spot transaction involves the immediate or near-immediate delivery of and payment for </w:t>
      </w:r>
      <w:r w:rsidR="00A37ABF">
        <w:rPr>
          <w:rFonts w:eastAsia="Malgun Gothic" w:cs="Times New Roman"/>
          <w:szCs w:val="20"/>
          <w:lang w:eastAsia="ko-KR"/>
        </w:rPr>
        <w:t>VCC</w:t>
      </w:r>
      <w:r w:rsidR="005A69F9">
        <w:rPr>
          <w:rFonts w:eastAsia="Malgun Gothic" w:cs="Times New Roman"/>
          <w:szCs w:val="20"/>
          <w:lang w:eastAsia="ko-KR"/>
        </w:rPr>
        <w:t>s</w:t>
      </w:r>
      <w:r w:rsidR="000654B9">
        <w:rPr>
          <w:rFonts w:eastAsia="Malgun Gothic" w:cs="Times New Roman"/>
          <w:szCs w:val="20"/>
          <w:lang w:eastAsia="ko-KR"/>
        </w:rPr>
        <w:t xml:space="preserve">. In a forward contract, the parties </w:t>
      </w:r>
      <w:r w:rsidR="00A37ABF">
        <w:rPr>
          <w:rFonts w:eastAsia="Malgun Gothic" w:cs="Times New Roman"/>
          <w:szCs w:val="20"/>
          <w:lang w:eastAsia="ko-KR"/>
        </w:rPr>
        <w:t>agree to</w:t>
      </w:r>
      <w:r w:rsidR="000654B9">
        <w:rPr>
          <w:rFonts w:eastAsia="Malgun Gothic" w:cs="Times New Roman"/>
          <w:szCs w:val="20"/>
          <w:lang w:eastAsia="ko-KR"/>
        </w:rPr>
        <w:t xml:space="preserve"> a price or price-fixing method and </w:t>
      </w:r>
      <w:r w:rsidR="00A37ABF">
        <w:rPr>
          <w:rFonts w:eastAsia="Malgun Gothic" w:cs="Times New Roman"/>
          <w:szCs w:val="20"/>
          <w:lang w:eastAsia="ko-KR"/>
        </w:rPr>
        <w:t>future delivery of VCC</w:t>
      </w:r>
      <w:r w:rsidR="005A69F9">
        <w:rPr>
          <w:rFonts w:eastAsia="Malgun Gothic" w:cs="Times New Roman"/>
          <w:szCs w:val="20"/>
          <w:lang w:eastAsia="ko-KR"/>
        </w:rPr>
        <w:t>s</w:t>
      </w:r>
      <w:r w:rsidR="00A37ABF">
        <w:rPr>
          <w:rFonts w:eastAsia="Malgun Gothic" w:cs="Times New Roman"/>
          <w:szCs w:val="20"/>
          <w:lang w:eastAsia="ko-KR"/>
        </w:rPr>
        <w:t>.</w:t>
      </w:r>
      <w:r w:rsidR="00A37ABF">
        <w:rPr>
          <w:rStyle w:val="FootnoteReference"/>
          <w:rFonts w:eastAsia="Malgun Gothic" w:cs="Times New Roman"/>
          <w:szCs w:val="20"/>
          <w:lang w:eastAsia="ko-KR"/>
        </w:rPr>
        <w:footnoteReference w:id="10"/>
      </w:r>
      <w:r w:rsidR="00E45965">
        <w:rPr>
          <w:rFonts w:eastAsia="Malgun Gothic" w:cs="Times New Roman"/>
          <w:szCs w:val="20"/>
          <w:lang w:eastAsia="ko-KR"/>
        </w:rPr>
        <w:t xml:space="preserve"> </w:t>
      </w:r>
    </w:p>
    <w:p w14:paraId="08B01763" w14:textId="51796DDE" w:rsidR="00975870" w:rsidRDefault="00B5003A" w:rsidP="00CF309A">
      <w:pPr>
        <w:spacing w:after="120" w:line="276" w:lineRule="auto"/>
      </w:pPr>
      <w:r>
        <w:rPr>
          <w:rFonts w:eastAsia="Malgun Gothic" w:cs="Times New Roman"/>
          <w:szCs w:val="20"/>
          <w:lang w:eastAsia="ko-KR"/>
        </w:rPr>
        <w:t>The derivatives markets are the third component</w:t>
      </w:r>
      <w:r w:rsidR="00502513">
        <w:rPr>
          <w:rFonts w:eastAsia="Malgun Gothic" w:cs="Times New Roman"/>
          <w:szCs w:val="20"/>
          <w:lang w:eastAsia="ko-KR"/>
        </w:rPr>
        <w:t xml:space="preserve">. </w:t>
      </w:r>
      <w:r w:rsidR="005140B3">
        <w:rPr>
          <w:rFonts w:eastAsia="Malgun Gothic" w:cs="Times New Roman"/>
          <w:szCs w:val="20"/>
          <w:lang w:eastAsia="ko-KR"/>
        </w:rPr>
        <w:t>A</w:t>
      </w:r>
      <w:r w:rsidR="00502513">
        <w:rPr>
          <w:rFonts w:eastAsia="Malgun Gothic" w:cs="Times New Roman"/>
          <w:szCs w:val="20"/>
          <w:lang w:eastAsia="ko-KR"/>
        </w:rPr>
        <w:t xml:space="preserve"> derivative </w:t>
      </w:r>
      <w:r w:rsidR="005140B3">
        <w:rPr>
          <w:rFonts w:eastAsia="Malgun Gothic" w:cs="Times New Roman"/>
          <w:szCs w:val="20"/>
          <w:lang w:eastAsia="ko-KR"/>
        </w:rPr>
        <w:t>i</w:t>
      </w:r>
      <w:r w:rsidR="00502513">
        <w:rPr>
          <w:rFonts w:eastAsia="Malgun Gothic" w:cs="Times New Roman"/>
          <w:szCs w:val="20"/>
          <w:lang w:eastAsia="ko-KR"/>
        </w:rPr>
        <w:t>s “a financial instrument whose value is based on, or derived from, the value of an underlying asset (e.g., a stock), commodity (e.g., wheat and oil) or measurable event (e.g., weather or a bankruptcy).”</w:t>
      </w:r>
      <w:r w:rsidR="00502513">
        <w:rPr>
          <w:rStyle w:val="FootnoteReference"/>
          <w:rFonts w:eastAsia="Malgun Gothic" w:cs="Times New Roman"/>
          <w:szCs w:val="20"/>
          <w:lang w:eastAsia="ko-KR"/>
        </w:rPr>
        <w:footnoteReference w:id="11"/>
      </w:r>
      <w:r w:rsidR="00502513">
        <w:rPr>
          <w:rFonts w:eastAsia="Malgun Gothic" w:cs="Times New Roman"/>
          <w:szCs w:val="20"/>
          <w:lang w:eastAsia="ko-KR"/>
        </w:rPr>
        <w:t xml:space="preserve"> </w:t>
      </w:r>
      <w:r w:rsidR="002D0916">
        <w:rPr>
          <w:rFonts w:eastAsia="Malgun Gothic" w:cs="Times New Roman"/>
          <w:szCs w:val="20"/>
          <w:lang w:eastAsia="ko-KR"/>
        </w:rPr>
        <w:t>Instead of trading VCCs, derivative</w:t>
      </w:r>
      <w:r w:rsidR="00BD2575">
        <w:rPr>
          <w:rFonts w:eastAsia="Malgun Gothic" w:cs="Times New Roman"/>
          <w:szCs w:val="20"/>
          <w:lang w:eastAsia="ko-KR"/>
        </w:rPr>
        <w:t>s</w:t>
      </w:r>
      <w:r w:rsidR="002D0916">
        <w:rPr>
          <w:rFonts w:eastAsia="Malgun Gothic" w:cs="Times New Roman"/>
          <w:szCs w:val="20"/>
          <w:lang w:eastAsia="ko-KR"/>
        </w:rPr>
        <w:t xml:space="preserve"> market participants trade contracts whose prices derive from </w:t>
      </w:r>
      <w:r w:rsidR="0096020C">
        <w:rPr>
          <w:rFonts w:eastAsia="Malgun Gothic" w:cs="Times New Roman"/>
          <w:szCs w:val="20"/>
          <w:lang w:eastAsia="ko-KR"/>
        </w:rPr>
        <w:t xml:space="preserve">the </w:t>
      </w:r>
      <w:r>
        <w:rPr>
          <w:rFonts w:eastAsia="Malgun Gothic" w:cs="Times New Roman"/>
          <w:szCs w:val="20"/>
          <w:lang w:eastAsia="ko-KR"/>
        </w:rPr>
        <w:t xml:space="preserve">spot </w:t>
      </w:r>
      <w:r w:rsidR="0096020C">
        <w:rPr>
          <w:rFonts w:eastAsia="Malgun Gothic" w:cs="Times New Roman"/>
          <w:szCs w:val="20"/>
          <w:lang w:eastAsia="ko-KR"/>
        </w:rPr>
        <w:t>value of VCCs in the secondary market</w:t>
      </w:r>
      <w:r>
        <w:rPr>
          <w:rFonts w:eastAsia="Malgun Gothic" w:cs="Times New Roman"/>
          <w:szCs w:val="20"/>
          <w:lang w:eastAsia="ko-KR"/>
        </w:rPr>
        <w:t>s</w:t>
      </w:r>
      <w:r w:rsidR="002D0916">
        <w:rPr>
          <w:rFonts w:eastAsia="Malgun Gothic" w:cs="Times New Roman"/>
          <w:szCs w:val="20"/>
          <w:lang w:eastAsia="ko-KR"/>
        </w:rPr>
        <w:t>.</w:t>
      </w:r>
      <w:r>
        <w:rPr>
          <w:rStyle w:val="FootnoteReference"/>
          <w:rFonts w:eastAsia="Malgun Gothic" w:cs="Times New Roman"/>
          <w:szCs w:val="20"/>
          <w:lang w:eastAsia="ko-KR"/>
        </w:rPr>
        <w:footnoteReference w:id="12"/>
      </w:r>
      <w:r w:rsidR="005A69F9">
        <w:rPr>
          <w:rFonts w:eastAsia="Malgun Gothic" w:cs="Times New Roman"/>
          <w:szCs w:val="20"/>
          <w:lang w:eastAsia="ko-KR"/>
        </w:rPr>
        <w:t xml:space="preserve"> </w:t>
      </w:r>
      <w:r w:rsidR="008369C9">
        <w:rPr>
          <w:rFonts w:eastAsia="Malgun Gothic" w:cs="Times New Roman"/>
          <w:szCs w:val="20"/>
          <w:lang w:eastAsia="ko-KR"/>
        </w:rPr>
        <w:t>Market participants mainly use derivatives for hedging (managing exposure to “the risk of disadvantageous movements in the price of an underlying asset”) or speculation (gaining exposure to an underlying commodity’s price to earn profits by successfully predicting pr</w:t>
      </w:r>
      <w:r w:rsidR="003D61B2">
        <w:rPr>
          <w:rFonts w:eastAsia="Malgun Gothic" w:cs="Times New Roman"/>
          <w:szCs w:val="20"/>
          <w:lang w:eastAsia="ko-KR"/>
        </w:rPr>
        <w:t>ice movements</w:t>
      </w:r>
      <w:r w:rsidR="008369C9">
        <w:rPr>
          <w:rFonts w:eastAsia="Malgun Gothic" w:cs="Times New Roman"/>
          <w:szCs w:val="20"/>
          <w:lang w:eastAsia="ko-KR"/>
        </w:rPr>
        <w:t>).</w:t>
      </w:r>
      <w:r w:rsidR="008369C9">
        <w:rPr>
          <w:rStyle w:val="FootnoteReference"/>
          <w:rFonts w:eastAsia="Malgun Gothic" w:cs="Times New Roman"/>
          <w:szCs w:val="20"/>
          <w:lang w:eastAsia="ko-KR"/>
        </w:rPr>
        <w:footnoteReference w:id="13"/>
      </w:r>
      <w:r w:rsidR="003D61B2">
        <w:rPr>
          <w:rFonts w:eastAsia="Malgun Gothic" w:cs="Times New Roman"/>
          <w:szCs w:val="20"/>
          <w:lang w:eastAsia="ko-KR"/>
        </w:rPr>
        <w:t xml:space="preserve"> </w:t>
      </w:r>
      <w:r w:rsidR="006D6235">
        <w:t xml:space="preserve">Derivatives based on </w:t>
      </w:r>
      <w:r w:rsidR="00981EAC">
        <w:t>VCCs</w:t>
      </w:r>
      <w:r w:rsidR="006D6235">
        <w:t xml:space="preserve"> are a “new and evolving class of products.”</w:t>
      </w:r>
      <w:r w:rsidR="006D6235">
        <w:rPr>
          <w:rStyle w:val="FootnoteReference"/>
        </w:rPr>
        <w:footnoteReference w:id="14"/>
      </w:r>
      <w:r w:rsidR="006D6235">
        <w:t xml:space="preserve"> </w:t>
      </w:r>
    </w:p>
    <w:p w14:paraId="46C7B77C" w14:textId="520201C1" w:rsidR="004D1DBA" w:rsidRDefault="006D6235" w:rsidP="00CF309A">
      <w:pPr>
        <w:spacing w:after="120" w:line="276" w:lineRule="auto"/>
        <w:rPr>
          <w:rFonts w:eastAsia="Malgun Gothic" w:cs="Times New Roman"/>
          <w:szCs w:val="20"/>
          <w:lang w:eastAsia="ko-KR"/>
        </w:rPr>
      </w:pPr>
      <w:r>
        <w:t xml:space="preserve">The </w:t>
      </w:r>
      <w:r w:rsidR="00F55EC6">
        <w:t xml:space="preserve">Commission </w:t>
      </w:r>
      <w:r>
        <w:t>issued the Guidance to highlight factors that</w:t>
      </w:r>
      <w:r w:rsidR="005140B3">
        <w:t xml:space="preserve"> CFTC-regulated </w:t>
      </w:r>
      <w:r w:rsidR="00BD5891">
        <w:t xml:space="preserve">DCMs </w:t>
      </w:r>
      <w:r w:rsidR="00D606F8">
        <w:t xml:space="preserve">should </w:t>
      </w:r>
      <w:r w:rsidR="00D606F8" w:rsidRPr="00CF309A">
        <w:rPr>
          <w:rFonts w:eastAsia="Malgun Gothic" w:cs="Times New Roman"/>
          <w:szCs w:val="20"/>
          <w:lang w:eastAsia="ko-KR"/>
        </w:rPr>
        <w:t>consider</w:t>
      </w:r>
      <w:r w:rsidR="00D606F8">
        <w:t xml:space="preserve"> when</w:t>
      </w:r>
      <w:r>
        <w:t xml:space="preserve"> listing </w:t>
      </w:r>
      <w:r w:rsidR="00981EAC">
        <w:t>VCC derivatives</w:t>
      </w:r>
      <w:r>
        <w:t xml:space="preserve">. The Guidance </w:t>
      </w:r>
      <w:r w:rsidR="00F55EC6">
        <w:t>aims</w:t>
      </w:r>
      <w:r>
        <w:t xml:space="preserve"> to help these </w:t>
      </w:r>
      <w:r w:rsidR="005A69F9">
        <w:t xml:space="preserve">DCMs </w:t>
      </w:r>
      <w:r>
        <w:t xml:space="preserve">ensure that </w:t>
      </w:r>
      <w:r w:rsidR="00B521EC">
        <w:t xml:space="preserve">the </w:t>
      </w:r>
      <w:r>
        <w:t xml:space="preserve">VCC derivatives </w:t>
      </w:r>
      <w:r w:rsidR="00B521EC">
        <w:t xml:space="preserve">they list </w:t>
      </w:r>
      <w:r>
        <w:t xml:space="preserve">comply with existing statutory and regulatory requirements </w:t>
      </w:r>
      <w:r w:rsidR="00E323CA">
        <w:t xml:space="preserve">for all derivatives listed on </w:t>
      </w:r>
      <w:r w:rsidR="00A150A7">
        <w:t>DCMs</w:t>
      </w:r>
      <w:r w:rsidR="00981EAC">
        <w:t>.</w:t>
      </w:r>
      <w:r w:rsidR="00ED06AD">
        <w:rPr>
          <w:rStyle w:val="FootnoteReference"/>
        </w:rPr>
        <w:footnoteReference w:id="15"/>
      </w:r>
      <w:r w:rsidR="00B521EC">
        <w:t xml:space="preserve"> </w:t>
      </w:r>
    </w:p>
    <w:p w14:paraId="3E195630" w14:textId="01F6E6A7" w:rsidR="00F41F51" w:rsidRDefault="004D1DBA" w:rsidP="00CF309A">
      <w:pPr>
        <w:spacing w:after="120" w:line="276" w:lineRule="auto"/>
        <w:rPr>
          <w:rFonts w:eastAsia="Malgun Gothic" w:cs="Times New Roman"/>
          <w:szCs w:val="20"/>
          <w:lang w:eastAsia="ko-KR"/>
        </w:rPr>
      </w:pPr>
      <w:r>
        <w:rPr>
          <w:rFonts w:eastAsia="Malgun Gothic" w:cs="Times New Roman"/>
          <w:szCs w:val="20"/>
          <w:lang w:eastAsia="ko-KR"/>
        </w:rPr>
        <w:t xml:space="preserve">The Guidance identifies </w:t>
      </w:r>
      <w:r w:rsidR="003F3E07">
        <w:rPr>
          <w:rFonts w:eastAsia="Malgun Gothic" w:cs="Times New Roman"/>
          <w:szCs w:val="20"/>
          <w:lang w:eastAsia="ko-KR"/>
        </w:rPr>
        <w:t xml:space="preserve">several </w:t>
      </w:r>
      <w:r>
        <w:rPr>
          <w:rFonts w:eastAsia="Malgun Gothic" w:cs="Times New Roman"/>
          <w:szCs w:val="20"/>
          <w:lang w:eastAsia="ko-KR"/>
        </w:rPr>
        <w:t xml:space="preserve">problems </w:t>
      </w:r>
      <w:r w:rsidR="00041360">
        <w:rPr>
          <w:rFonts w:eastAsia="Malgun Gothic" w:cs="Times New Roman"/>
          <w:szCs w:val="20"/>
          <w:lang w:eastAsia="ko-KR"/>
        </w:rPr>
        <w:t>related</w:t>
      </w:r>
      <w:r>
        <w:rPr>
          <w:rFonts w:eastAsia="Malgun Gothic" w:cs="Times New Roman"/>
          <w:szCs w:val="20"/>
          <w:lang w:eastAsia="ko-KR"/>
        </w:rPr>
        <w:t xml:space="preserve"> to the integrity of VCCs. </w:t>
      </w:r>
      <w:r w:rsidR="00D736A8">
        <w:rPr>
          <w:rFonts w:eastAsia="Malgun Gothic" w:cs="Times New Roman"/>
          <w:szCs w:val="20"/>
          <w:lang w:eastAsia="ko-KR"/>
        </w:rPr>
        <w:t>For example</w:t>
      </w:r>
      <w:r>
        <w:rPr>
          <w:rFonts w:eastAsia="Malgun Gothic" w:cs="Times New Roman"/>
          <w:szCs w:val="20"/>
          <w:lang w:eastAsia="ko-KR"/>
        </w:rPr>
        <w:t xml:space="preserve">, some VCCs may not actually represent </w:t>
      </w:r>
      <w:r w:rsidR="009E0048">
        <w:rPr>
          <w:rFonts w:eastAsia="Malgun Gothic" w:cs="Times New Roman"/>
          <w:szCs w:val="20"/>
          <w:lang w:eastAsia="ko-KR"/>
        </w:rPr>
        <w:t>“</w:t>
      </w:r>
      <w:r>
        <w:rPr>
          <w:rFonts w:eastAsia="Malgun Gothic" w:cs="Times New Roman"/>
          <w:szCs w:val="20"/>
          <w:lang w:eastAsia="ko-KR"/>
        </w:rPr>
        <w:t>additional</w:t>
      </w:r>
      <w:r w:rsidR="009E0048">
        <w:rPr>
          <w:rFonts w:eastAsia="Malgun Gothic" w:cs="Times New Roman"/>
          <w:szCs w:val="20"/>
          <w:lang w:eastAsia="ko-KR"/>
        </w:rPr>
        <w:t>”</w:t>
      </w:r>
      <w:r>
        <w:rPr>
          <w:rFonts w:eastAsia="Malgun Gothic" w:cs="Times New Roman"/>
          <w:szCs w:val="20"/>
          <w:lang w:eastAsia="ko-KR"/>
        </w:rPr>
        <w:t xml:space="preserve"> emissions reductions or removals that would not have occurred without “the added monetary incentive created by the revenue from the sale of carbon credits</w:t>
      </w:r>
      <w:r w:rsidR="00E61B92">
        <w:rPr>
          <w:rFonts w:eastAsia="Malgun Gothic" w:cs="Times New Roman"/>
          <w:szCs w:val="20"/>
          <w:lang w:eastAsia="ko-KR"/>
        </w:rPr>
        <w:t>,</w:t>
      </w:r>
      <w:r>
        <w:rPr>
          <w:rFonts w:eastAsia="Malgun Gothic" w:cs="Times New Roman"/>
          <w:szCs w:val="20"/>
          <w:lang w:eastAsia="ko-KR"/>
        </w:rPr>
        <w:t>”</w:t>
      </w:r>
      <w:r>
        <w:rPr>
          <w:rStyle w:val="FootnoteReference"/>
          <w:rFonts w:eastAsia="Malgun Gothic" w:cs="Times New Roman"/>
          <w:szCs w:val="20"/>
          <w:lang w:eastAsia="ko-KR"/>
        </w:rPr>
        <w:footnoteReference w:id="16"/>
      </w:r>
      <w:r w:rsidR="00041360">
        <w:rPr>
          <w:rFonts w:eastAsia="Malgun Gothic" w:cs="Times New Roman"/>
          <w:szCs w:val="20"/>
          <w:lang w:eastAsia="ko-KR"/>
        </w:rPr>
        <w:t xml:space="preserve"> </w:t>
      </w:r>
      <w:r w:rsidR="00E61B92">
        <w:rPr>
          <w:rFonts w:eastAsia="Malgun Gothic" w:cs="Times New Roman"/>
          <w:szCs w:val="20"/>
          <w:lang w:eastAsia="ko-KR"/>
        </w:rPr>
        <w:t>while others m</w:t>
      </w:r>
      <w:r w:rsidR="00041360">
        <w:rPr>
          <w:rFonts w:eastAsia="Malgun Gothic" w:cs="Times New Roman"/>
          <w:szCs w:val="20"/>
          <w:lang w:eastAsia="ko-KR"/>
        </w:rPr>
        <w:t>ay represent emissions reduction</w:t>
      </w:r>
      <w:r w:rsidR="00B5003A">
        <w:rPr>
          <w:rFonts w:eastAsia="Malgun Gothic" w:cs="Times New Roman"/>
          <w:szCs w:val="20"/>
          <w:lang w:eastAsia="ko-KR"/>
        </w:rPr>
        <w:t>s</w:t>
      </w:r>
      <w:r w:rsidR="00041360">
        <w:rPr>
          <w:rFonts w:eastAsia="Malgun Gothic" w:cs="Times New Roman"/>
          <w:szCs w:val="20"/>
          <w:lang w:eastAsia="ko-KR"/>
        </w:rPr>
        <w:t xml:space="preserve"> or removal</w:t>
      </w:r>
      <w:r w:rsidR="00B5003A">
        <w:rPr>
          <w:rFonts w:eastAsia="Malgun Gothic" w:cs="Times New Roman"/>
          <w:szCs w:val="20"/>
          <w:lang w:eastAsia="ko-KR"/>
        </w:rPr>
        <w:t>s</w:t>
      </w:r>
      <w:r w:rsidR="00041360">
        <w:rPr>
          <w:rFonts w:eastAsia="Malgun Gothic" w:cs="Times New Roman"/>
          <w:szCs w:val="20"/>
          <w:lang w:eastAsia="ko-KR"/>
        </w:rPr>
        <w:t xml:space="preserve"> </w:t>
      </w:r>
      <w:r w:rsidR="00810C7A">
        <w:rPr>
          <w:rFonts w:eastAsia="Malgun Gothic" w:cs="Times New Roman"/>
          <w:szCs w:val="20"/>
          <w:lang w:eastAsia="ko-KR"/>
        </w:rPr>
        <w:t>at</w:t>
      </w:r>
      <w:r w:rsidR="00041360">
        <w:rPr>
          <w:rFonts w:eastAsia="Malgun Gothic" w:cs="Times New Roman"/>
          <w:szCs w:val="20"/>
          <w:lang w:eastAsia="ko-KR"/>
        </w:rPr>
        <w:t xml:space="preserve"> risk of reversal</w:t>
      </w:r>
      <w:r w:rsidR="00E61B92">
        <w:rPr>
          <w:rFonts w:eastAsia="Malgun Gothic" w:cs="Times New Roman"/>
          <w:szCs w:val="20"/>
          <w:lang w:eastAsia="ko-KR"/>
        </w:rPr>
        <w:t xml:space="preserve"> (</w:t>
      </w:r>
      <w:r w:rsidR="006F3787">
        <w:rPr>
          <w:rFonts w:eastAsia="Malgun Gothic" w:cs="Times New Roman"/>
          <w:szCs w:val="20"/>
          <w:lang w:eastAsia="ko-KR"/>
        </w:rPr>
        <w:t xml:space="preserve">as when a wildfire destroys </w:t>
      </w:r>
      <w:r w:rsidR="005E72E6">
        <w:rPr>
          <w:rFonts w:eastAsia="Malgun Gothic" w:cs="Times New Roman"/>
          <w:szCs w:val="20"/>
          <w:lang w:eastAsia="ko-KR"/>
        </w:rPr>
        <w:t>reforested trees</w:t>
      </w:r>
      <w:r w:rsidR="006F3787">
        <w:rPr>
          <w:rFonts w:eastAsia="Malgun Gothic" w:cs="Times New Roman"/>
          <w:szCs w:val="20"/>
          <w:lang w:eastAsia="ko-KR"/>
        </w:rPr>
        <w:t xml:space="preserve"> associated with a carbon credit</w:t>
      </w:r>
      <w:r w:rsidR="00E61B92">
        <w:rPr>
          <w:rFonts w:eastAsia="Malgun Gothic" w:cs="Times New Roman"/>
          <w:szCs w:val="20"/>
          <w:lang w:eastAsia="ko-KR"/>
        </w:rPr>
        <w:t>)</w:t>
      </w:r>
      <w:r w:rsidR="006F3787">
        <w:rPr>
          <w:rFonts w:eastAsia="Malgun Gothic" w:cs="Times New Roman"/>
          <w:szCs w:val="20"/>
          <w:lang w:eastAsia="ko-KR"/>
        </w:rPr>
        <w:t xml:space="preserve">. </w:t>
      </w:r>
      <w:r w:rsidR="00810C7A">
        <w:rPr>
          <w:rFonts w:eastAsia="Malgun Gothic" w:cs="Times New Roman"/>
          <w:szCs w:val="20"/>
          <w:lang w:eastAsia="ko-KR"/>
        </w:rPr>
        <w:t xml:space="preserve">A VCC that lacks additionality or permanence, or whose integrity is jeopardized by any of the other problems the Guidance identifies, may not </w:t>
      </w:r>
      <w:r w:rsidR="00E61B92">
        <w:rPr>
          <w:rFonts w:eastAsia="Malgun Gothic" w:cs="Times New Roman"/>
          <w:szCs w:val="20"/>
          <w:lang w:eastAsia="ko-KR"/>
        </w:rPr>
        <w:t xml:space="preserve">“reflect the nature and level of GHG emission reductions or removals that </w:t>
      </w:r>
      <w:r w:rsidR="00831798">
        <w:rPr>
          <w:rFonts w:eastAsia="Malgun Gothic" w:cs="Times New Roman"/>
          <w:szCs w:val="20"/>
          <w:lang w:eastAsia="ko-KR"/>
        </w:rPr>
        <w:t>[it is]</w:t>
      </w:r>
      <w:r w:rsidR="00E61B92">
        <w:rPr>
          <w:rFonts w:eastAsia="Malgun Gothic" w:cs="Times New Roman"/>
          <w:szCs w:val="20"/>
          <w:lang w:eastAsia="ko-KR"/>
        </w:rPr>
        <w:t xml:space="preserve"> intended to represent</w:t>
      </w:r>
      <w:r w:rsidR="00810C7A">
        <w:rPr>
          <w:rFonts w:eastAsia="Malgun Gothic" w:cs="Times New Roman"/>
          <w:szCs w:val="20"/>
          <w:lang w:eastAsia="ko-KR"/>
        </w:rPr>
        <w:t>.</w:t>
      </w:r>
      <w:r w:rsidR="00E61B92">
        <w:rPr>
          <w:rFonts w:eastAsia="Malgun Gothic" w:cs="Times New Roman"/>
          <w:szCs w:val="20"/>
          <w:lang w:eastAsia="ko-KR"/>
        </w:rPr>
        <w:t>”</w:t>
      </w:r>
      <w:r w:rsidR="00E61B92">
        <w:rPr>
          <w:rStyle w:val="FootnoteReference"/>
          <w:rFonts w:eastAsia="Malgun Gothic" w:cs="Times New Roman"/>
          <w:szCs w:val="20"/>
          <w:lang w:eastAsia="ko-KR"/>
        </w:rPr>
        <w:footnoteReference w:id="17"/>
      </w:r>
      <w:r w:rsidR="00F15E47">
        <w:rPr>
          <w:rFonts w:eastAsia="Malgun Gothic" w:cs="Times New Roman"/>
          <w:szCs w:val="20"/>
          <w:lang w:eastAsia="ko-KR"/>
        </w:rPr>
        <w:t xml:space="preserve"> </w:t>
      </w:r>
    </w:p>
    <w:p w14:paraId="3684E20B" w14:textId="459692B6" w:rsidR="0088715C" w:rsidRDefault="006F3787" w:rsidP="00CF309A">
      <w:pPr>
        <w:spacing w:after="120" w:line="276" w:lineRule="auto"/>
        <w:rPr>
          <w:rFonts w:eastAsia="Malgun Gothic" w:cs="Times New Roman"/>
          <w:szCs w:val="20"/>
          <w:lang w:eastAsia="ko-KR"/>
        </w:rPr>
      </w:pPr>
      <w:r>
        <w:rPr>
          <w:rFonts w:eastAsia="Malgun Gothic" w:cs="Times New Roman"/>
          <w:szCs w:val="20"/>
          <w:lang w:eastAsia="ko-KR"/>
        </w:rPr>
        <w:t>T</w:t>
      </w:r>
      <w:r w:rsidR="004B16AC">
        <w:rPr>
          <w:rFonts w:eastAsia="Malgun Gothic" w:cs="Times New Roman"/>
          <w:szCs w:val="20"/>
          <w:lang w:eastAsia="ko-KR"/>
        </w:rPr>
        <w:t>hese problems with VCC integrity most directly concern the primary market</w:t>
      </w:r>
      <w:r w:rsidR="00B5003A">
        <w:rPr>
          <w:rFonts w:eastAsia="Malgun Gothic" w:cs="Times New Roman"/>
          <w:szCs w:val="20"/>
          <w:lang w:eastAsia="ko-KR"/>
        </w:rPr>
        <w:t>s</w:t>
      </w:r>
      <w:r w:rsidR="00145B0E">
        <w:rPr>
          <w:rFonts w:eastAsia="Malgun Gothic" w:cs="Times New Roman"/>
          <w:szCs w:val="20"/>
          <w:lang w:eastAsia="ko-KR"/>
        </w:rPr>
        <w:t>, where crediting programs issue VCCs, and the secondary markets, where most trading of VCCs occurs</w:t>
      </w:r>
      <w:r>
        <w:rPr>
          <w:rFonts w:eastAsia="Malgun Gothic" w:cs="Times New Roman"/>
          <w:szCs w:val="20"/>
          <w:lang w:eastAsia="ko-KR"/>
        </w:rPr>
        <w:t>.</w:t>
      </w:r>
      <w:r w:rsidR="00F40A74">
        <w:rPr>
          <w:rStyle w:val="FootnoteReference"/>
          <w:rFonts w:eastAsia="Malgun Gothic" w:cs="Times New Roman"/>
          <w:szCs w:val="20"/>
          <w:lang w:eastAsia="ko-KR"/>
        </w:rPr>
        <w:footnoteReference w:id="18"/>
      </w:r>
      <w:r>
        <w:rPr>
          <w:rFonts w:eastAsia="Malgun Gothic" w:cs="Times New Roman"/>
          <w:szCs w:val="20"/>
          <w:lang w:eastAsia="ko-KR"/>
        </w:rPr>
        <w:t xml:space="preserve"> T</w:t>
      </w:r>
      <w:r w:rsidR="00936C0C">
        <w:rPr>
          <w:rFonts w:eastAsia="Malgun Gothic" w:cs="Times New Roman"/>
          <w:szCs w:val="20"/>
          <w:lang w:eastAsia="ko-KR"/>
        </w:rPr>
        <w:t xml:space="preserve">he </w:t>
      </w:r>
      <w:r w:rsidR="00936C0C">
        <w:rPr>
          <w:rFonts w:eastAsia="Malgun Gothic" w:cs="Times New Roman"/>
          <w:szCs w:val="20"/>
          <w:lang w:eastAsia="ko-KR"/>
        </w:rPr>
        <w:lastRenderedPageBreak/>
        <w:t>Guidance address</w:t>
      </w:r>
      <w:r>
        <w:rPr>
          <w:rFonts w:eastAsia="Malgun Gothic" w:cs="Times New Roman"/>
          <w:szCs w:val="20"/>
          <w:lang w:eastAsia="ko-KR"/>
        </w:rPr>
        <w:t>es</w:t>
      </w:r>
      <w:r w:rsidR="00936C0C">
        <w:rPr>
          <w:rFonts w:eastAsia="Malgun Gothic" w:cs="Times New Roman"/>
          <w:szCs w:val="20"/>
          <w:lang w:eastAsia="ko-KR"/>
        </w:rPr>
        <w:t xml:space="preserve"> these problems</w:t>
      </w:r>
      <w:r w:rsidR="00810C7A">
        <w:rPr>
          <w:rFonts w:eastAsia="Malgun Gothic" w:cs="Times New Roman"/>
          <w:szCs w:val="20"/>
          <w:lang w:eastAsia="ko-KR"/>
        </w:rPr>
        <w:t xml:space="preserve"> only</w:t>
      </w:r>
      <w:r w:rsidR="00936C0C">
        <w:rPr>
          <w:rFonts w:eastAsia="Malgun Gothic" w:cs="Times New Roman"/>
          <w:szCs w:val="20"/>
          <w:lang w:eastAsia="ko-KR"/>
        </w:rPr>
        <w:t xml:space="preserve"> to the extent that they </w:t>
      </w:r>
      <w:r w:rsidR="009F4A59">
        <w:rPr>
          <w:rFonts w:eastAsia="Malgun Gothic" w:cs="Times New Roman"/>
          <w:szCs w:val="20"/>
          <w:lang w:eastAsia="ko-KR"/>
        </w:rPr>
        <w:t>affect</w:t>
      </w:r>
      <w:r w:rsidR="004B16AC" w:rsidRPr="00981EAC">
        <w:rPr>
          <w:rFonts w:eastAsia="Malgun Gothic" w:cs="Times New Roman"/>
          <w:szCs w:val="20"/>
          <w:lang w:eastAsia="ko-KR"/>
        </w:rPr>
        <w:t xml:space="preserve"> VCC derivatives</w:t>
      </w:r>
      <w:r w:rsidRPr="00981EAC">
        <w:rPr>
          <w:rStyle w:val="FootnoteReference"/>
        </w:rPr>
        <w:footnoteReference w:id="19"/>
      </w:r>
      <w:r w:rsidR="004B16AC" w:rsidRPr="00981EAC">
        <w:rPr>
          <w:rFonts w:eastAsia="Malgun Gothic" w:cs="Times New Roman"/>
          <w:szCs w:val="20"/>
          <w:lang w:eastAsia="ko-KR"/>
        </w:rPr>
        <w:t xml:space="preserve"> </w:t>
      </w:r>
      <w:r w:rsidR="00CB6410">
        <w:rPr>
          <w:rFonts w:eastAsia="Malgun Gothic" w:cs="Times New Roman"/>
          <w:szCs w:val="20"/>
          <w:lang w:eastAsia="ko-KR"/>
        </w:rPr>
        <w:t>listed</w:t>
      </w:r>
      <w:r w:rsidR="004B16AC" w:rsidRPr="00981EAC">
        <w:rPr>
          <w:rFonts w:eastAsia="Malgun Gothic" w:cs="Times New Roman"/>
          <w:szCs w:val="20"/>
          <w:lang w:eastAsia="ko-KR"/>
        </w:rPr>
        <w:t xml:space="preserve"> on </w:t>
      </w:r>
      <w:r w:rsidR="00381730">
        <w:rPr>
          <w:rFonts w:eastAsia="Malgun Gothic" w:cs="Times New Roman"/>
          <w:szCs w:val="20"/>
          <w:lang w:eastAsia="ko-KR"/>
        </w:rPr>
        <w:t>DCMs</w:t>
      </w:r>
      <w:r w:rsidR="00F3248B">
        <w:rPr>
          <w:rFonts w:eastAsia="Malgun Gothic" w:cs="Times New Roman"/>
          <w:szCs w:val="20"/>
          <w:lang w:eastAsia="ko-KR"/>
        </w:rPr>
        <w:t>.</w:t>
      </w:r>
      <w:r w:rsidR="00F40A74">
        <w:rPr>
          <w:rStyle w:val="FootnoteReference"/>
          <w:rFonts w:eastAsia="Malgun Gothic" w:cs="Times New Roman"/>
          <w:szCs w:val="20"/>
          <w:lang w:eastAsia="ko-KR"/>
        </w:rPr>
        <w:footnoteReference w:id="20"/>
      </w:r>
      <w:r w:rsidR="00145B0E">
        <w:rPr>
          <w:rFonts w:eastAsia="Malgun Gothic" w:cs="Times New Roman"/>
          <w:szCs w:val="20"/>
          <w:lang w:eastAsia="ko-KR"/>
        </w:rPr>
        <w:t xml:space="preserve"> </w:t>
      </w:r>
      <w:r w:rsidR="00F3248B">
        <w:rPr>
          <w:rFonts w:eastAsia="Malgun Gothic" w:cs="Times New Roman"/>
          <w:szCs w:val="20"/>
          <w:lang w:eastAsia="ko-KR"/>
        </w:rPr>
        <w:t>O</w:t>
      </w:r>
      <w:r w:rsidR="00F40A74">
        <w:rPr>
          <w:rFonts w:eastAsia="Malgun Gothic" w:cs="Times New Roman"/>
          <w:szCs w:val="20"/>
          <w:lang w:eastAsia="ko-KR"/>
        </w:rPr>
        <w:t>nly three such derivatives had</w:t>
      </w:r>
      <w:r w:rsidR="00145B0E">
        <w:rPr>
          <w:rFonts w:eastAsia="Malgun Gothic" w:cs="Times New Roman"/>
          <w:szCs w:val="20"/>
          <w:lang w:eastAsia="ko-KR"/>
        </w:rPr>
        <w:t xml:space="preserve"> open interest</w:t>
      </w:r>
      <w:r w:rsidR="00F40A74">
        <w:rPr>
          <w:rFonts w:eastAsia="Malgun Gothic" w:cs="Times New Roman"/>
          <w:szCs w:val="20"/>
          <w:lang w:eastAsia="ko-KR"/>
        </w:rPr>
        <w:t xml:space="preserve"> as of November 2023</w:t>
      </w:r>
      <w:r w:rsidR="00C17183" w:rsidRPr="00981EAC">
        <w:rPr>
          <w:rFonts w:eastAsia="Malgun Gothic" w:cs="Times New Roman"/>
          <w:szCs w:val="20"/>
          <w:lang w:eastAsia="ko-KR"/>
        </w:rPr>
        <w:t>.</w:t>
      </w:r>
      <w:r w:rsidR="00C17183" w:rsidRPr="00981EAC">
        <w:rPr>
          <w:rStyle w:val="FootnoteReference"/>
          <w:rFonts w:eastAsia="Malgun Gothic" w:cs="Times New Roman"/>
          <w:szCs w:val="20"/>
          <w:lang w:eastAsia="ko-KR"/>
        </w:rPr>
        <w:footnoteReference w:id="21"/>
      </w:r>
      <w:r w:rsidR="00104E70">
        <w:rPr>
          <w:rFonts w:eastAsia="Malgun Gothic" w:cs="Times New Roman"/>
          <w:szCs w:val="20"/>
          <w:lang w:eastAsia="ko-KR"/>
        </w:rPr>
        <w:t xml:space="preserve"> </w:t>
      </w:r>
    </w:p>
    <w:p w14:paraId="6E98A052" w14:textId="752FB094" w:rsidR="0088715C" w:rsidRPr="0088715C" w:rsidRDefault="0088715C" w:rsidP="00AE0F40">
      <w:pPr>
        <w:pStyle w:val="ListParagraph"/>
        <w:keepNext/>
        <w:numPr>
          <w:ilvl w:val="0"/>
          <w:numId w:val="1"/>
        </w:numPr>
        <w:spacing w:after="120"/>
        <w:rPr>
          <w:rFonts w:eastAsia="Malgun Gothic"/>
          <w:b/>
        </w:rPr>
      </w:pPr>
      <w:r w:rsidRPr="0088715C">
        <w:rPr>
          <w:rFonts w:eastAsia="Malgun Gothic"/>
          <w:b/>
        </w:rPr>
        <w:t xml:space="preserve">The </w:t>
      </w:r>
      <w:r w:rsidR="00E81B49">
        <w:rPr>
          <w:rFonts w:eastAsia="Malgun Gothic"/>
          <w:b/>
        </w:rPr>
        <w:t>Commission</w:t>
      </w:r>
      <w:r w:rsidR="00E81B49" w:rsidRPr="0088715C">
        <w:rPr>
          <w:rFonts w:eastAsia="Malgun Gothic"/>
          <w:b/>
        </w:rPr>
        <w:t xml:space="preserve"> </w:t>
      </w:r>
      <w:r w:rsidRPr="0088715C">
        <w:rPr>
          <w:rFonts w:eastAsia="Malgun Gothic"/>
          <w:b/>
        </w:rPr>
        <w:t xml:space="preserve">should </w:t>
      </w:r>
      <w:r w:rsidR="00286B1B">
        <w:rPr>
          <w:rFonts w:eastAsia="Malgun Gothic"/>
          <w:b/>
        </w:rPr>
        <w:t>highlig</w:t>
      </w:r>
      <w:r w:rsidR="0058045F">
        <w:rPr>
          <w:rFonts w:eastAsia="Malgun Gothic"/>
          <w:b/>
        </w:rPr>
        <w:t xml:space="preserve">ht </w:t>
      </w:r>
      <w:r w:rsidR="00E81B49">
        <w:rPr>
          <w:rFonts w:eastAsia="Malgun Gothic"/>
          <w:b/>
        </w:rPr>
        <w:t xml:space="preserve">additional </w:t>
      </w:r>
      <w:r w:rsidR="00286B1B">
        <w:rPr>
          <w:rFonts w:eastAsia="Malgun Gothic"/>
          <w:b/>
        </w:rPr>
        <w:t xml:space="preserve">sources of </w:t>
      </w:r>
      <w:r w:rsidR="00E81B49">
        <w:rPr>
          <w:rFonts w:eastAsia="Malgun Gothic"/>
          <w:b/>
        </w:rPr>
        <w:t>its</w:t>
      </w:r>
      <w:r w:rsidR="00286B1B">
        <w:rPr>
          <w:rFonts w:eastAsia="Malgun Gothic"/>
          <w:b/>
        </w:rPr>
        <w:t xml:space="preserve"> legal authority over</w:t>
      </w:r>
      <w:r w:rsidR="008F6A71">
        <w:rPr>
          <w:rFonts w:eastAsia="Malgun Gothic"/>
          <w:b/>
        </w:rPr>
        <w:t xml:space="preserve"> VCC</w:t>
      </w:r>
      <w:r w:rsidR="00286B1B">
        <w:rPr>
          <w:rFonts w:eastAsia="Malgun Gothic"/>
          <w:b/>
        </w:rPr>
        <w:t xml:space="preserve"> derivatives listed on </w:t>
      </w:r>
      <w:r w:rsidR="00381730">
        <w:rPr>
          <w:rFonts w:eastAsia="Malgun Gothic"/>
          <w:b/>
        </w:rPr>
        <w:t>DCMs</w:t>
      </w:r>
      <w:r w:rsidRPr="0088715C">
        <w:rPr>
          <w:rFonts w:eastAsia="Malgun Gothic"/>
          <w:b/>
        </w:rPr>
        <w:t>.</w:t>
      </w:r>
    </w:p>
    <w:p w14:paraId="504AF2AD" w14:textId="4C74E60F" w:rsidR="0055413C" w:rsidRDefault="00E81B49" w:rsidP="004B7442">
      <w:pPr>
        <w:spacing w:after="120" w:line="276" w:lineRule="auto"/>
        <w:rPr>
          <w:rFonts w:eastAsia="Malgun Gothic" w:cs="Times New Roman"/>
          <w:szCs w:val="20"/>
          <w:lang w:eastAsia="ko-KR"/>
        </w:rPr>
      </w:pPr>
      <w:r>
        <w:rPr>
          <w:rFonts w:eastAsia="Malgun Gothic" w:cs="Times New Roman"/>
          <w:szCs w:val="20"/>
          <w:lang w:eastAsia="ko-KR"/>
        </w:rPr>
        <w:t>To avoid any misconceptions about the scope of its authority,</w:t>
      </w:r>
      <w:r w:rsidR="006F12DB">
        <w:rPr>
          <w:rFonts w:eastAsia="Malgun Gothic" w:cs="Times New Roman"/>
          <w:szCs w:val="20"/>
          <w:lang w:eastAsia="ko-KR"/>
        </w:rPr>
        <w:t xml:space="preserve"> the Commission should</w:t>
      </w:r>
      <w:r w:rsidR="00835330">
        <w:rPr>
          <w:rFonts w:eastAsia="Malgun Gothic" w:cs="Times New Roman"/>
          <w:szCs w:val="20"/>
          <w:lang w:eastAsia="ko-KR"/>
        </w:rPr>
        <w:t xml:space="preserve"> consider </w:t>
      </w:r>
      <w:r w:rsidR="00894341">
        <w:rPr>
          <w:rFonts w:eastAsia="Malgun Gothic" w:cs="Times New Roman"/>
          <w:szCs w:val="20"/>
          <w:lang w:eastAsia="ko-KR"/>
        </w:rPr>
        <w:t xml:space="preserve">underscoring </w:t>
      </w:r>
      <w:r>
        <w:rPr>
          <w:rFonts w:eastAsia="Malgun Gothic" w:cs="Times New Roman"/>
          <w:szCs w:val="20"/>
          <w:lang w:eastAsia="ko-KR"/>
        </w:rPr>
        <w:t>additional</w:t>
      </w:r>
      <w:r w:rsidR="00835330">
        <w:rPr>
          <w:rFonts w:eastAsia="Malgun Gothic" w:cs="Times New Roman"/>
          <w:szCs w:val="20"/>
          <w:lang w:eastAsia="ko-KR"/>
        </w:rPr>
        <w:t xml:space="preserve"> </w:t>
      </w:r>
      <w:r w:rsidR="00381730">
        <w:rPr>
          <w:rFonts w:eastAsia="Malgun Gothic" w:cs="Times New Roman"/>
          <w:szCs w:val="20"/>
          <w:lang w:eastAsia="ko-KR"/>
        </w:rPr>
        <w:t xml:space="preserve">CEA </w:t>
      </w:r>
      <w:r w:rsidR="006F12DB">
        <w:rPr>
          <w:rFonts w:eastAsia="Malgun Gothic" w:cs="Times New Roman"/>
          <w:szCs w:val="20"/>
          <w:lang w:eastAsia="ko-KR"/>
        </w:rPr>
        <w:t>provisions</w:t>
      </w:r>
      <w:r w:rsidR="00974BBC">
        <w:rPr>
          <w:rFonts w:eastAsia="Malgun Gothic" w:cs="Times New Roman"/>
          <w:szCs w:val="20"/>
          <w:lang w:eastAsia="ko-KR"/>
        </w:rPr>
        <w:t xml:space="preserve"> that</w:t>
      </w:r>
      <w:r w:rsidR="006F12DB">
        <w:rPr>
          <w:rFonts w:eastAsia="Malgun Gothic" w:cs="Times New Roman"/>
          <w:szCs w:val="20"/>
          <w:lang w:eastAsia="ko-KR"/>
        </w:rPr>
        <w:t xml:space="preserve"> demonstrat</w:t>
      </w:r>
      <w:r w:rsidR="00974BBC">
        <w:rPr>
          <w:rFonts w:eastAsia="Malgun Gothic" w:cs="Times New Roman"/>
          <w:szCs w:val="20"/>
          <w:lang w:eastAsia="ko-KR"/>
        </w:rPr>
        <w:t>e</w:t>
      </w:r>
      <w:r w:rsidR="006F12DB">
        <w:rPr>
          <w:rFonts w:eastAsia="Malgun Gothic" w:cs="Times New Roman"/>
          <w:szCs w:val="20"/>
          <w:lang w:eastAsia="ko-KR"/>
        </w:rPr>
        <w:t xml:space="preserve"> </w:t>
      </w:r>
      <w:r w:rsidR="00835330">
        <w:rPr>
          <w:rFonts w:eastAsia="Malgun Gothic" w:cs="Times New Roman"/>
          <w:szCs w:val="20"/>
          <w:lang w:eastAsia="ko-KR"/>
        </w:rPr>
        <w:t xml:space="preserve">its legal authority over VCC derivatives listed on </w:t>
      </w:r>
      <w:r w:rsidR="00381730">
        <w:rPr>
          <w:rFonts w:eastAsia="Malgun Gothic" w:cs="Times New Roman"/>
          <w:szCs w:val="20"/>
          <w:lang w:eastAsia="ko-KR"/>
        </w:rPr>
        <w:t>DCMs</w:t>
      </w:r>
      <w:r w:rsidR="00835330">
        <w:rPr>
          <w:rFonts w:eastAsia="Malgun Gothic" w:cs="Times New Roman"/>
          <w:szCs w:val="20"/>
          <w:lang w:eastAsia="ko-KR"/>
        </w:rPr>
        <w:t>.</w:t>
      </w:r>
      <w:r w:rsidR="00F27C78">
        <w:rPr>
          <w:rFonts w:eastAsia="Malgun Gothic" w:cs="Times New Roman"/>
          <w:szCs w:val="20"/>
          <w:lang w:eastAsia="ko-KR"/>
        </w:rPr>
        <w:t xml:space="preserve"> In particular, Section 2 of the </w:t>
      </w:r>
      <w:r w:rsidR="00381730">
        <w:rPr>
          <w:rFonts w:eastAsia="Malgun Gothic" w:cs="Times New Roman"/>
          <w:szCs w:val="20"/>
          <w:lang w:eastAsia="ko-KR"/>
        </w:rPr>
        <w:t>CEA</w:t>
      </w:r>
      <w:r w:rsidR="00F27C78">
        <w:rPr>
          <w:rFonts w:eastAsia="Malgun Gothic" w:cs="Times New Roman"/>
          <w:szCs w:val="20"/>
          <w:lang w:eastAsia="ko-KR"/>
        </w:rPr>
        <w:t xml:space="preserve"> grants the CFTC exclusive jurisdiction over </w:t>
      </w:r>
      <w:r w:rsidR="008F6A71">
        <w:rPr>
          <w:rFonts w:eastAsia="Malgun Gothic" w:cs="Times New Roman"/>
          <w:szCs w:val="20"/>
          <w:lang w:eastAsia="ko-KR"/>
        </w:rPr>
        <w:t>these derivatives</w:t>
      </w:r>
      <w:r w:rsidR="00361DF7">
        <w:rPr>
          <w:rFonts w:eastAsia="Malgun Gothic" w:cs="Times New Roman"/>
          <w:szCs w:val="20"/>
          <w:lang w:eastAsia="ko-KR"/>
        </w:rPr>
        <w:t>, empowering the Commission</w:t>
      </w:r>
      <w:r w:rsidR="002E4A00">
        <w:rPr>
          <w:rFonts w:eastAsia="Malgun Gothic" w:cs="Times New Roman"/>
          <w:szCs w:val="20"/>
          <w:lang w:eastAsia="ko-KR"/>
        </w:rPr>
        <w:t xml:space="preserve"> to proactively regulate </w:t>
      </w:r>
      <w:r w:rsidR="008F6A71">
        <w:rPr>
          <w:rFonts w:eastAsia="Malgun Gothic" w:cs="Times New Roman"/>
          <w:szCs w:val="20"/>
          <w:lang w:eastAsia="ko-KR"/>
        </w:rPr>
        <w:t>them</w:t>
      </w:r>
      <w:r w:rsidR="00F27C78">
        <w:rPr>
          <w:rFonts w:eastAsia="Malgun Gothic" w:cs="Times New Roman"/>
          <w:szCs w:val="20"/>
          <w:lang w:eastAsia="ko-KR"/>
        </w:rPr>
        <w:t>.</w:t>
      </w:r>
      <w:r w:rsidR="00F27C78">
        <w:rPr>
          <w:rStyle w:val="FootnoteReference"/>
          <w:rFonts w:eastAsia="Malgun Gothic" w:cs="Times New Roman"/>
          <w:szCs w:val="20"/>
          <w:lang w:eastAsia="ko-KR"/>
        </w:rPr>
        <w:footnoteReference w:id="22"/>
      </w:r>
      <w:r w:rsidR="00F27C78">
        <w:rPr>
          <w:rFonts w:eastAsia="Malgun Gothic" w:cs="Times New Roman"/>
          <w:szCs w:val="20"/>
          <w:lang w:eastAsia="ko-KR"/>
        </w:rPr>
        <w:t xml:space="preserve"> </w:t>
      </w:r>
      <w:r w:rsidR="009C5AAC">
        <w:rPr>
          <w:rFonts w:eastAsia="Malgun Gothic" w:cs="Times New Roman"/>
          <w:szCs w:val="20"/>
          <w:lang w:eastAsia="ko-KR"/>
        </w:rPr>
        <w:t xml:space="preserve">And Section 7 </w:t>
      </w:r>
      <w:r w:rsidR="00B1366D" w:rsidRPr="00B1366D">
        <w:rPr>
          <w:rFonts w:eastAsia="Malgun Gothic" w:cs="Times New Roman"/>
          <w:szCs w:val="20"/>
          <w:lang w:eastAsia="ko-KR"/>
        </w:rPr>
        <w:t xml:space="preserve">further </w:t>
      </w:r>
      <w:r w:rsidR="009C5AAC">
        <w:rPr>
          <w:rFonts w:eastAsia="Malgun Gothic" w:cs="Times New Roman"/>
          <w:szCs w:val="20"/>
          <w:lang w:eastAsia="ko-KR"/>
        </w:rPr>
        <w:t>specifies</w:t>
      </w:r>
      <w:r w:rsidR="002C0DEE" w:rsidRPr="00B1366D">
        <w:rPr>
          <w:rFonts w:eastAsia="Malgun Gothic" w:cs="Times New Roman"/>
          <w:szCs w:val="20"/>
          <w:lang w:eastAsia="ko-KR"/>
        </w:rPr>
        <w:t xml:space="preserve"> that the C</w:t>
      </w:r>
      <w:r w:rsidR="00361DF7">
        <w:rPr>
          <w:rFonts w:eastAsia="Malgun Gothic" w:cs="Times New Roman"/>
          <w:szCs w:val="20"/>
          <w:lang w:eastAsia="ko-KR"/>
        </w:rPr>
        <w:t>ommission</w:t>
      </w:r>
      <w:r w:rsidR="002C0DEE" w:rsidRPr="00B1366D">
        <w:rPr>
          <w:rFonts w:eastAsia="Malgun Gothic" w:cs="Times New Roman"/>
          <w:szCs w:val="20"/>
          <w:lang w:eastAsia="ko-KR"/>
        </w:rPr>
        <w:t xml:space="preserve"> can</w:t>
      </w:r>
      <w:r w:rsidR="00B1366D" w:rsidRPr="00B1366D">
        <w:rPr>
          <w:rFonts w:eastAsia="Malgun Gothic" w:cs="Times New Roman"/>
          <w:szCs w:val="20"/>
          <w:lang w:eastAsia="ko-KR"/>
        </w:rPr>
        <w:t xml:space="preserve"> </w:t>
      </w:r>
      <w:r w:rsidR="00F73633">
        <w:rPr>
          <w:rFonts w:eastAsia="Malgun Gothic" w:cs="Times New Roman"/>
          <w:szCs w:val="20"/>
          <w:lang w:eastAsia="ko-KR"/>
        </w:rPr>
        <w:t>define</w:t>
      </w:r>
      <w:r w:rsidR="002C0DEE" w:rsidRPr="00B1366D">
        <w:rPr>
          <w:rFonts w:eastAsia="Malgun Gothic" w:cs="Times New Roman"/>
          <w:szCs w:val="20"/>
          <w:lang w:eastAsia="ko-KR"/>
        </w:rPr>
        <w:t xml:space="preserve"> how </w:t>
      </w:r>
      <w:r w:rsidR="00381730">
        <w:rPr>
          <w:rFonts w:eastAsia="Malgun Gothic" w:cs="Times New Roman"/>
          <w:szCs w:val="20"/>
          <w:lang w:eastAsia="ko-KR"/>
        </w:rPr>
        <w:t>DCMs</w:t>
      </w:r>
      <w:r w:rsidR="002C0DEE" w:rsidRPr="00B1366D">
        <w:rPr>
          <w:rFonts w:eastAsia="Malgun Gothic" w:cs="Times New Roman"/>
          <w:szCs w:val="20"/>
          <w:lang w:eastAsia="ko-KR"/>
        </w:rPr>
        <w:t xml:space="preserve"> must comply wi</w:t>
      </w:r>
      <w:r w:rsidR="009C5AAC">
        <w:rPr>
          <w:rFonts w:eastAsia="Malgun Gothic" w:cs="Times New Roman"/>
          <w:szCs w:val="20"/>
          <w:lang w:eastAsia="ko-KR"/>
        </w:rPr>
        <w:t xml:space="preserve">th the </w:t>
      </w:r>
      <w:r w:rsidR="00381730">
        <w:rPr>
          <w:rFonts w:eastAsia="Malgun Gothic" w:cs="Times New Roman"/>
          <w:szCs w:val="20"/>
          <w:lang w:eastAsia="ko-KR"/>
        </w:rPr>
        <w:t>CEA’s</w:t>
      </w:r>
      <w:r w:rsidR="002E4A00">
        <w:rPr>
          <w:rFonts w:eastAsia="Malgun Gothic" w:cs="Times New Roman"/>
          <w:szCs w:val="20"/>
          <w:lang w:eastAsia="ko-KR"/>
        </w:rPr>
        <w:t xml:space="preserve"> </w:t>
      </w:r>
      <w:r w:rsidR="002C0DEE" w:rsidRPr="00B1366D">
        <w:rPr>
          <w:rFonts w:eastAsia="Malgun Gothic" w:cs="Times New Roman"/>
          <w:szCs w:val="20"/>
          <w:lang w:eastAsia="ko-KR"/>
        </w:rPr>
        <w:t>Core Principles</w:t>
      </w:r>
      <w:r w:rsidR="008F6A71">
        <w:rPr>
          <w:rFonts w:eastAsia="Malgun Gothic" w:cs="Times New Roman"/>
          <w:szCs w:val="20"/>
          <w:lang w:eastAsia="ko-KR"/>
        </w:rPr>
        <w:t>,</w:t>
      </w:r>
      <w:r w:rsidR="002C0DEE" w:rsidRPr="00B1366D">
        <w:rPr>
          <w:rStyle w:val="FootnoteReference"/>
          <w:rFonts w:eastAsia="Malgun Gothic" w:cs="Times New Roman"/>
          <w:szCs w:val="20"/>
          <w:lang w:eastAsia="ko-KR"/>
        </w:rPr>
        <w:footnoteReference w:id="23"/>
      </w:r>
      <w:r w:rsidR="002E4A00">
        <w:rPr>
          <w:rFonts w:eastAsia="Malgun Gothic" w:cs="Times New Roman"/>
          <w:szCs w:val="20"/>
          <w:lang w:eastAsia="ko-KR"/>
        </w:rPr>
        <w:t xml:space="preserve"> which is exactly what the Guidance does.</w:t>
      </w:r>
      <w:r w:rsidR="002E4A00">
        <w:rPr>
          <w:rStyle w:val="FootnoteReference"/>
          <w:rFonts w:eastAsia="Malgun Gothic" w:cs="Times New Roman"/>
          <w:szCs w:val="20"/>
          <w:lang w:eastAsia="ko-KR"/>
        </w:rPr>
        <w:footnoteReference w:id="24"/>
      </w:r>
      <w:r w:rsidR="009C5AAC">
        <w:rPr>
          <w:rFonts w:eastAsia="Malgun Gothic" w:cs="Times New Roman"/>
          <w:szCs w:val="20"/>
          <w:lang w:eastAsia="ko-KR"/>
        </w:rPr>
        <w:t xml:space="preserve"> </w:t>
      </w:r>
      <w:r w:rsidR="008F6A71">
        <w:rPr>
          <w:rFonts w:eastAsia="Malgun Gothic" w:cs="Times New Roman"/>
          <w:szCs w:val="20"/>
          <w:lang w:eastAsia="ko-KR"/>
        </w:rPr>
        <w:t xml:space="preserve">This broad legal authority applies </w:t>
      </w:r>
      <w:r w:rsidR="00F3248B">
        <w:rPr>
          <w:rFonts w:eastAsia="Malgun Gothic" w:cs="Times New Roman"/>
          <w:szCs w:val="20"/>
          <w:lang w:eastAsia="ko-KR"/>
        </w:rPr>
        <w:t>to</w:t>
      </w:r>
      <w:r w:rsidR="008F6A71">
        <w:rPr>
          <w:rFonts w:eastAsia="Malgun Gothic" w:cs="Times New Roman"/>
          <w:szCs w:val="20"/>
          <w:lang w:eastAsia="ko-KR"/>
        </w:rPr>
        <w:t xml:space="preserve"> derivatives based on environmental commodities</w:t>
      </w:r>
      <w:r w:rsidR="00894341">
        <w:rPr>
          <w:rFonts w:eastAsia="Malgun Gothic" w:cs="Times New Roman"/>
          <w:szCs w:val="20"/>
          <w:lang w:eastAsia="ko-KR"/>
        </w:rPr>
        <w:t>.</w:t>
      </w:r>
      <w:r w:rsidR="00894341">
        <w:rPr>
          <w:rStyle w:val="FootnoteReference"/>
          <w:rFonts w:eastAsia="Malgun Gothic" w:cs="Times New Roman"/>
          <w:szCs w:val="20"/>
          <w:lang w:eastAsia="ko-KR"/>
        </w:rPr>
        <w:footnoteReference w:id="25"/>
      </w:r>
      <w:r w:rsidR="00894341">
        <w:rPr>
          <w:rFonts w:eastAsia="Malgun Gothic" w:cs="Times New Roman"/>
          <w:szCs w:val="20"/>
          <w:lang w:eastAsia="ko-KR"/>
        </w:rPr>
        <w:t xml:space="preserve"> </w:t>
      </w:r>
    </w:p>
    <w:p w14:paraId="2EC45485" w14:textId="7D4461E0" w:rsidR="003D0BD2" w:rsidRPr="00CF309A" w:rsidRDefault="00B545C6" w:rsidP="00AE0F40">
      <w:pPr>
        <w:pStyle w:val="ListParagraph"/>
        <w:keepNext/>
        <w:numPr>
          <w:ilvl w:val="0"/>
          <w:numId w:val="1"/>
        </w:numPr>
        <w:spacing w:after="120"/>
        <w:rPr>
          <w:rFonts w:eastAsia="Malgun Gothic"/>
        </w:rPr>
      </w:pPr>
      <w:r>
        <w:rPr>
          <w:rFonts w:eastAsia="Malgun Gothic"/>
          <w:b/>
        </w:rPr>
        <w:t xml:space="preserve">The </w:t>
      </w:r>
      <w:r w:rsidR="004C7A45">
        <w:rPr>
          <w:rFonts w:eastAsia="Malgun Gothic"/>
          <w:b/>
        </w:rPr>
        <w:t xml:space="preserve">Commission </w:t>
      </w:r>
      <w:r>
        <w:rPr>
          <w:rFonts w:eastAsia="Malgun Gothic"/>
          <w:b/>
        </w:rPr>
        <w:t xml:space="preserve">should </w:t>
      </w:r>
      <w:r w:rsidR="001724A2">
        <w:rPr>
          <w:rFonts w:eastAsia="Malgun Gothic"/>
          <w:b/>
        </w:rPr>
        <w:t>expand its Guidance on additionality, leakage risk, quantification, risk of reversal, and DCM discretion to set stringent standards</w:t>
      </w:r>
      <w:r w:rsidR="007941CD">
        <w:rPr>
          <w:rFonts w:eastAsia="Malgun Gothic"/>
          <w:b/>
        </w:rPr>
        <w:t>.</w:t>
      </w:r>
    </w:p>
    <w:p w14:paraId="0A01D0F4" w14:textId="79CF0130" w:rsidR="00CD7C42" w:rsidRDefault="008C6549" w:rsidP="002E4A00">
      <w:pPr>
        <w:spacing w:after="120" w:line="276" w:lineRule="auto"/>
        <w:rPr>
          <w:rFonts w:eastAsia="Malgun Gothic" w:cs="Times New Roman"/>
          <w:szCs w:val="20"/>
          <w:lang w:eastAsia="ko-KR"/>
        </w:rPr>
      </w:pPr>
      <w:r>
        <w:rPr>
          <w:rFonts w:eastAsia="Malgun Gothic" w:cs="Times New Roman"/>
          <w:szCs w:val="20"/>
          <w:lang w:eastAsia="ko-KR"/>
        </w:rPr>
        <w:t xml:space="preserve">In earlier, separate guidance, the </w:t>
      </w:r>
      <w:r w:rsidR="00F55EC6">
        <w:rPr>
          <w:rFonts w:eastAsia="Malgun Gothic" w:cs="Times New Roman"/>
          <w:szCs w:val="20"/>
          <w:lang w:eastAsia="ko-KR"/>
        </w:rPr>
        <w:t xml:space="preserve">Commission </w:t>
      </w:r>
      <w:r>
        <w:rPr>
          <w:rFonts w:eastAsia="Malgun Gothic" w:cs="Times New Roman"/>
          <w:szCs w:val="20"/>
          <w:lang w:eastAsia="ko-KR"/>
        </w:rPr>
        <w:t xml:space="preserve">stated that </w:t>
      </w:r>
      <w:r w:rsidR="00381730">
        <w:rPr>
          <w:rFonts w:eastAsia="Malgun Gothic" w:cs="Times New Roman"/>
          <w:szCs w:val="20"/>
          <w:lang w:eastAsia="ko-KR"/>
        </w:rPr>
        <w:t>DCMs</w:t>
      </w:r>
      <w:r w:rsidR="002B6689">
        <w:rPr>
          <w:rFonts w:eastAsia="Malgun Gothic" w:cs="Times New Roman"/>
          <w:szCs w:val="20"/>
          <w:lang w:eastAsia="ko-KR"/>
        </w:rPr>
        <w:t xml:space="preserve"> should</w:t>
      </w:r>
      <w:r>
        <w:rPr>
          <w:rFonts w:eastAsia="Malgun Gothic" w:cs="Times New Roman"/>
          <w:szCs w:val="20"/>
          <w:lang w:eastAsia="ko-KR"/>
        </w:rPr>
        <w:t xml:space="preserve"> “describe or define all of the economically significant characteristics or attributes of the co</w:t>
      </w:r>
      <w:r w:rsidR="002B6689">
        <w:rPr>
          <w:rFonts w:eastAsia="Malgun Gothic" w:cs="Times New Roman"/>
          <w:szCs w:val="20"/>
          <w:lang w:eastAsia="ko-KR"/>
        </w:rPr>
        <w:t>mmodity underlying the contract</w:t>
      </w:r>
      <w:r>
        <w:rPr>
          <w:rFonts w:eastAsia="Malgun Gothic" w:cs="Times New Roman"/>
          <w:szCs w:val="20"/>
          <w:lang w:eastAsia="ko-KR"/>
        </w:rPr>
        <w:t>”</w:t>
      </w:r>
      <w:r w:rsidR="002B6689">
        <w:rPr>
          <w:rFonts w:eastAsia="Malgun Gothic" w:cs="Times New Roman"/>
          <w:szCs w:val="20"/>
          <w:lang w:eastAsia="ko-KR"/>
        </w:rPr>
        <w:t xml:space="preserve"> in the terms and conditions of any contracts they list.</w:t>
      </w:r>
      <w:r>
        <w:rPr>
          <w:rStyle w:val="FootnoteReference"/>
          <w:rFonts w:eastAsia="Malgun Gothic" w:cs="Times New Roman"/>
          <w:szCs w:val="20"/>
          <w:lang w:eastAsia="ko-KR"/>
        </w:rPr>
        <w:footnoteReference w:id="26"/>
      </w:r>
      <w:r w:rsidR="00A53F90">
        <w:rPr>
          <w:rFonts w:eastAsia="Malgun Gothic" w:cs="Times New Roman"/>
          <w:szCs w:val="20"/>
          <w:lang w:eastAsia="ko-KR"/>
        </w:rPr>
        <w:t xml:space="preserve"> The Guidance </w:t>
      </w:r>
      <w:r w:rsidR="00C33931">
        <w:rPr>
          <w:rFonts w:eastAsia="Malgun Gothic" w:cs="Times New Roman"/>
          <w:szCs w:val="20"/>
          <w:lang w:eastAsia="ko-KR"/>
        </w:rPr>
        <w:t>outline</w:t>
      </w:r>
      <w:r w:rsidR="002B6689">
        <w:rPr>
          <w:rFonts w:eastAsia="Malgun Gothic" w:cs="Times New Roman"/>
          <w:szCs w:val="20"/>
          <w:lang w:eastAsia="ko-KR"/>
        </w:rPr>
        <w:t xml:space="preserve">s several “economically significant” characteristics of VCCs, </w:t>
      </w:r>
      <w:r w:rsidR="008A3222">
        <w:rPr>
          <w:rFonts w:eastAsia="Malgun Gothic" w:cs="Times New Roman"/>
          <w:szCs w:val="20"/>
          <w:lang w:eastAsia="ko-KR"/>
        </w:rPr>
        <w:t xml:space="preserve">many </w:t>
      </w:r>
      <w:r w:rsidR="00297B69">
        <w:rPr>
          <w:rFonts w:eastAsia="Malgun Gothic" w:cs="Times New Roman"/>
          <w:szCs w:val="20"/>
          <w:lang w:eastAsia="ko-KR"/>
        </w:rPr>
        <w:t xml:space="preserve">of which </w:t>
      </w:r>
      <w:r w:rsidR="00BE7CAF">
        <w:rPr>
          <w:rFonts w:eastAsia="Malgun Gothic" w:cs="Times New Roman"/>
          <w:szCs w:val="20"/>
          <w:lang w:eastAsia="ko-KR"/>
        </w:rPr>
        <w:t>concern</w:t>
      </w:r>
      <w:r w:rsidR="00297B69">
        <w:rPr>
          <w:rFonts w:eastAsia="Malgun Gothic" w:cs="Times New Roman"/>
          <w:szCs w:val="20"/>
          <w:lang w:eastAsia="ko-KR"/>
        </w:rPr>
        <w:t xml:space="preserve"> crediting programs’ standards and procedures for issuing VCCs: crediting programs’</w:t>
      </w:r>
      <w:r w:rsidR="0065123C">
        <w:rPr>
          <w:rFonts w:eastAsia="Malgun Gothic" w:cs="Times New Roman"/>
          <w:szCs w:val="20"/>
          <w:lang w:eastAsia="ko-KR"/>
        </w:rPr>
        <w:t xml:space="preserve"> transparency about their policies and the projects they credit; their procedures for assessing VCCs’ additionality</w:t>
      </w:r>
      <w:r w:rsidR="00812447">
        <w:rPr>
          <w:rFonts w:eastAsia="Malgun Gothic" w:cs="Times New Roman"/>
          <w:szCs w:val="20"/>
          <w:lang w:eastAsia="ko-KR"/>
        </w:rPr>
        <w:t xml:space="preserve"> </w:t>
      </w:r>
      <w:r w:rsidR="0065123C">
        <w:rPr>
          <w:rFonts w:eastAsia="Malgun Gothic" w:cs="Times New Roman"/>
          <w:szCs w:val="20"/>
          <w:lang w:eastAsia="ko-KR"/>
        </w:rPr>
        <w:t>and permanence; and their methodologies for quantifying the emissions reductions or removals that projects will yield, to name a few.</w:t>
      </w:r>
      <w:r w:rsidR="00812447" w:rsidRPr="00812447">
        <w:rPr>
          <w:rStyle w:val="FootnoteReference"/>
          <w:rFonts w:eastAsia="Malgun Gothic" w:cs="Times New Roman"/>
          <w:szCs w:val="20"/>
          <w:lang w:eastAsia="ko-KR"/>
        </w:rPr>
        <w:t xml:space="preserve"> </w:t>
      </w:r>
      <w:r w:rsidR="00812447">
        <w:rPr>
          <w:rStyle w:val="FootnoteReference"/>
          <w:rFonts w:eastAsia="Malgun Gothic" w:cs="Times New Roman"/>
          <w:szCs w:val="20"/>
          <w:lang w:eastAsia="ko-KR"/>
        </w:rPr>
        <w:footnoteReference w:id="27"/>
      </w:r>
      <w:r w:rsidR="0065123C">
        <w:rPr>
          <w:rFonts w:eastAsia="Malgun Gothic" w:cs="Times New Roman"/>
          <w:szCs w:val="20"/>
          <w:lang w:eastAsia="ko-KR"/>
        </w:rPr>
        <w:t xml:space="preserve"> </w:t>
      </w:r>
      <w:r w:rsidR="00BE7CAF">
        <w:rPr>
          <w:rFonts w:eastAsia="Malgun Gothic" w:cs="Times New Roman"/>
          <w:szCs w:val="20"/>
          <w:lang w:eastAsia="ko-KR"/>
        </w:rPr>
        <w:t>The Guidance</w:t>
      </w:r>
      <w:r w:rsidR="00297B69">
        <w:rPr>
          <w:rFonts w:eastAsia="Malgun Gothic" w:cs="Times New Roman"/>
          <w:szCs w:val="20"/>
          <w:lang w:eastAsia="ko-KR"/>
        </w:rPr>
        <w:t xml:space="preserve"> recommends that </w:t>
      </w:r>
      <w:r w:rsidR="00381730">
        <w:rPr>
          <w:rFonts w:eastAsia="Malgun Gothic" w:cs="Times New Roman"/>
          <w:szCs w:val="20"/>
          <w:lang w:eastAsia="ko-KR"/>
        </w:rPr>
        <w:t>DCMs</w:t>
      </w:r>
      <w:r w:rsidR="00297B69">
        <w:rPr>
          <w:rFonts w:eastAsia="Malgun Gothic" w:cs="Times New Roman"/>
          <w:szCs w:val="20"/>
          <w:lang w:eastAsia="ko-KR"/>
        </w:rPr>
        <w:t xml:space="preserve"> require </w:t>
      </w:r>
      <w:r w:rsidR="00BE7CAF">
        <w:rPr>
          <w:rFonts w:eastAsia="Malgun Gothic" w:cs="Times New Roman"/>
          <w:szCs w:val="20"/>
          <w:lang w:eastAsia="ko-KR"/>
        </w:rPr>
        <w:t xml:space="preserve">related </w:t>
      </w:r>
      <w:r w:rsidR="00297B69">
        <w:rPr>
          <w:rFonts w:eastAsia="Malgun Gothic" w:cs="Times New Roman"/>
          <w:szCs w:val="20"/>
          <w:lang w:eastAsia="ko-KR"/>
        </w:rPr>
        <w:lastRenderedPageBreak/>
        <w:t xml:space="preserve">disclosures in VCC derivatives’ terms and conditions. </w:t>
      </w:r>
      <w:r w:rsidR="008B2DE3">
        <w:rPr>
          <w:rFonts w:eastAsia="Malgun Gothic" w:cs="Times New Roman"/>
          <w:szCs w:val="20"/>
          <w:lang w:eastAsia="ko-KR"/>
        </w:rPr>
        <w:t>The Guidance’s recommendations provide a solid foundation, but the Commission should expand its Guidance in several key ways. The points below respond to the Commission’s request for comment.</w:t>
      </w:r>
    </w:p>
    <w:p w14:paraId="211E1981" w14:textId="0F3EBA5B" w:rsidR="00CD7C42" w:rsidRPr="008C6549" w:rsidRDefault="00A53F90" w:rsidP="00A150A7">
      <w:pPr>
        <w:pStyle w:val="ListParagraph"/>
        <w:keepNext/>
        <w:numPr>
          <w:ilvl w:val="1"/>
          <w:numId w:val="1"/>
        </w:numPr>
        <w:spacing w:after="120"/>
        <w:rPr>
          <w:rFonts w:eastAsia="Malgun Gothic"/>
          <w:b/>
        </w:rPr>
      </w:pPr>
      <w:r>
        <w:rPr>
          <w:rFonts w:eastAsia="Malgun Gothic"/>
          <w:b/>
        </w:rPr>
        <w:t>The C</w:t>
      </w:r>
      <w:r w:rsidR="00361DF7">
        <w:rPr>
          <w:rFonts w:eastAsia="Malgun Gothic"/>
          <w:b/>
        </w:rPr>
        <w:t>ommission</w:t>
      </w:r>
      <w:r>
        <w:rPr>
          <w:rFonts w:eastAsia="Malgun Gothic"/>
          <w:b/>
        </w:rPr>
        <w:t xml:space="preserve"> should </w:t>
      </w:r>
      <w:r w:rsidR="00517C09">
        <w:rPr>
          <w:rFonts w:eastAsia="Malgun Gothic"/>
          <w:b/>
        </w:rPr>
        <w:t>expand and clarify</w:t>
      </w:r>
      <w:r w:rsidR="008402D5">
        <w:rPr>
          <w:rFonts w:eastAsia="Malgun Gothic"/>
          <w:b/>
        </w:rPr>
        <w:t xml:space="preserve"> its</w:t>
      </w:r>
      <w:r>
        <w:rPr>
          <w:rFonts w:eastAsia="Malgun Gothic"/>
          <w:b/>
        </w:rPr>
        <w:t xml:space="preserve"> definition of additionality</w:t>
      </w:r>
      <w:r w:rsidR="00517C09">
        <w:rPr>
          <w:rFonts w:eastAsia="Malgun Gothic"/>
          <w:b/>
        </w:rPr>
        <w:t>, including by</w:t>
      </w:r>
      <w:r w:rsidR="008402D5">
        <w:rPr>
          <w:rFonts w:eastAsia="Malgun Gothic"/>
          <w:b/>
        </w:rPr>
        <w:t xml:space="preserve"> </w:t>
      </w:r>
      <w:r w:rsidR="008B2DE3">
        <w:rPr>
          <w:rFonts w:eastAsia="Malgun Gothic"/>
          <w:b/>
        </w:rPr>
        <w:t>provid</w:t>
      </w:r>
      <w:r w:rsidR="00517C09">
        <w:rPr>
          <w:rFonts w:eastAsia="Malgun Gothic"/>
          <w:b/>
        </w:rPr>
        <w:t>ing</w:t>
      </w:r>
      <w:r w:rsidR="008B2DE3">
        <w:rPr>
          <w:rFonts w:eastAsia="Malgun Gothic"/>
          <w:b/>
        </w:rPr>
        <w:t xml:space="preserve"> specific examples</w:t>
      </w:r>
      <w:r w:rsidR="008402D5">
        <w:rPr>
          <w:rFonts w:eastAsia="Malgun Gothic"/>
          <w:b/>
        </w:rPr>
        <w:t xml:space="preserve"> of financial additionality</w:t>
      </w:r>
      <w:r>
        <w:rPr>
          <w:rFonts w:eastAsia="Malgun Gothic"/>
          <w:b/>
        </w:rPr>
        <w:t>.</w:t>
      </w:r>
    </w:p>
    <w:p w14:paraId="55150EC4" w14:textId="0848BCA6" w:rsidR="008402D5" w:rsidRDefault="00202DD4" w:rsidP="002E4A00">
      <w:pPr>
        <w:spacing w:after="120" w:line="276" w:lineRule="auto"/>
        <w:rPr>
          <w:rFonts w:eastAsia="Malgun Gothic" w:cs="Times New Roman"/>
          <w:szCs w:val="20"/>
          <w:lang w:eastAsia="ko-KR"/>
        </w:rPr>
      </w:pPr>
      <w:r>
        <w:rPr>
          <w:rFonts w:eastAsia="Malgun Gothic" w:cs="Times New Roman"/>
          <w:szCs w:val="20"/>
          <w:lang w:eastAsia="ko-KR"/>
        </w:rPr>
        <w:t>In the Guidance, “the Commission recognizes VCCs as additional where they are credited for projects or activities that would not have been developed and implemented in the absence of the added monetary incentive created by the revenue from carbon credits.”</w:t>
      </w:r>
      <w:r>
        <w:rPr>
          <w:rStyle w:val="FootnoteReference"/>
          <w:rFonts w:eastAsia="Malgun Gothic" w:cs="Times New Roman"/>
          <w:szCs w:val="20"/>
          <w:lang w:eastAsia="ko-KR"/>
        </w:rPr>
        <w:footnoteReference w:id="28"/>
      </w:r>
      <w:r w:rsidR="00CA0ADE">
        <w:rPr>
          <w:rFonts w:eastAsia="Malgun Gothic" w:cs="Times New Roman"/>
          <w:szCs w:val="20"/>
          <w:lang w:eastAsia="ko-KR"/>
        </w:rPr>
        <w:t xml:space="preserve"> </w:t>
      </w:r>
      <w:r w:rsidR="0041006A">
        <w:rPr>
          <w:rFonts w:eastAsia="Malgun Gothic" w:cs="Times New Roman"/>
          <w:szCs w:val="20"/>
          <w:lang w:eastAsia="ko-KR"/>
        </w:rPr>
        <w:t>Scholars often refer to this</w:t>
      </w:r>
      <w:r w:rsidR="00CA0ADE">
        <w:rPr>
          <w:rFonts w:eastAsia="Malgun Gothic" w:cs="Times New Roman"/>
          <w:szCs w:val="20"/>
          <w:lang w:eastAsia="ko-KR"/>
        </w:rPr>
        <w:t xml:space="preserve"> definition as financial additionality.</w:t>
      </w:r>
      <w:r w:rsidR="00CA0ADE">
        <w:rPr>
          <w:rStyle w:val="FootnoteReference"/>
          <w:rFonts w:eastAsia="Malgun Gothic" w:cs="Times New Roman"/>
          <w:szCs w:val="20"/>
          <w:lang w:eastAsia="ko-KR"/>
        </w:rPr>
        <w:footnoteReference w:id="29"/>
      </w:r>
      <w:r>
        <w:rPr>
          <w:rFonts w:eastAsia="Malgun Gothic" w:cs="Times New Roman"/>
          <w:szCs w:val="20"/>
          <w:lang w:eastAsia="ko-KR"/>
        </w:rPr>
        <w:t xml:space="preserve"> </w:t>
      </w:r>
      <w:r w:rsidR="009F4A59">
        <w:rPr>
          <w:rFonts w:eastAsia="Malgun Gothic" w:cs="Times New Roman"/>
          <w:szCs w:val="20"/>
          <w:lang w:eastAsia="ko-KR"/>
        </w:rPr>
        <w:t>In its request for comment, the C</w:t>
      </w:r>
      <w:r w:rsidR="00361DF7">
        <w:rPr>
          <w:rFonts w:eastAsia="Malgun Gothic" w:cs="Times New Roman"/>
          <w:szCs w:val="20"/>
          <w:lang w:eastAsia="ko-KR"/>
        </w:rPr>
        <w:t>ommission</w:t>
      </w:r>
      <w:r w:rsidR="009F4A59">
        <w:rPr>
          <w:rFonts w:eastAsia="Malgun Gothic" w:cs="Times New Roman"/>
          <w:szCs w:val="20"/>
          <w:lang w:eastAsia="ko-KR"/>
        </w:rPr>
        <w:t xml:space="preserve"> ask</w:t>
      </w:r>
      <w:r w:rsidR="00361DF7">
        <w:rPr>
          <w:rFonts w:eastAsia="Malgun Gothic" w:cs="Times New Roman"/>
          <w:szCs w:val="20"/>
          <w:lang w:eastAsia="ko-KR"/>
        </w:rPr>
        <w:t>ed</w:t>
      </w:r>
      <w:r w:rsidR="009F4A59">
        <w:rPr>
          <w:rFonts w:eastAsia="Malgun Gothic" w:cs="Times New Roman"/>
          <w:szCs w:val="20"/>
          <w:lang w:eastAsia="ko-KR"/>
        </w:rPr>
        <w:t xml:space="preserve"> </w:t>
      </w:r>
      <w:r w:rsidR="004C7A45">
        <w:rPr>
          <w:rFonts w:eastAsia="Malgun Gothic" w:cs="Times New Roman"/>
          <w:szCs w:val="20"/>
          <w:lang w:eastAsia="ko-KR"/>
        </w:rPr>
        <w:t xml:space="preserve">if </w:t>
      </w:r>
      <w:r w:rsidR="009F4A59">
        <w:rPr>
          <w:rFonts w:eastAsia="Malgun Gothic" w:cs="Times New Roman"/>
          <w:szCs w:val="20"/>
          <w:lang w:eastAsia="ko-KR"/>
        </w:rPr>
        <w:t>additionality should</w:t>
      </w:r>
      <w:r w:rsidR="000116BD">
        <w:rPr>
          <w:rFonts w:eastAsia="Malgun Gothic" w:cs="Times New Roman"/>
          <w:szCs w:val="20"/>
          <w:lang w:eastAsia="ko-KR"/>
        </w:rPr>
        <w:t xml:space="preserve"> instead</w:t>
      </w:r>
      <w:r w:rsidR="009F4A59">
        <w:rPr>
          <w:rFonts w:eastAsia="Malgun Gothic" w:cs="Times New Roman"/>
          <w:szCs w:val="20"/>
          <w:lang w:eastAsia="ko-KR"/>
        </w:rPr>
        <w:t xml:space="preserve"> “be recognized as the reduction or removal of GHG emissions resulting from projects or activities that are not already required by law, regulation, or any other legally binding mandate applicable in the project’s or activity’s jurisdiction.”</w:t>
      </w:r>
      <w:r w:rsidR="00974BBC">
        <w:rPr>
          <w:rStyle w:val="FootnoteReference"/>
          <w:rFonts w:eastAsia="Malgun Gothic" w:cs="Times New Roman"/>
          <w:szCs w:val="20"/>
          <w:lang w:eastAsia="ko-KR"/>
        </w:rPr>
        <w:footnoteReference w:id="30"/>
      </w:r>
      <w:r w:rsidR="009F4A59">
        <w:rPr>
          <w:rFonts w:eastAsia="Malgun Gothic" w:cs="Times New Roman"/>
          <w:szCs w:val="20"/>
          <w:lang w:eastAsia="ko-KR"/>
        </w:rPr>
        <w:t xml:space="preserve"> </w:t>
      </w:r>
      <w:r w:rsidR="0041006A">
        <w:rPr>
          <w:rFonts w:eastAsia="Malgun Gothic" w:cs="Times New Roman"/>
          <w:szCs w:val="20"/>
          <w:lang w:eastAsia="ko-KR"/>
        </w:rPr>
        <w:t>Scholars often refer to this definition</w:t>
      </w:r>
      <w:r w:rsidR="00CA0ADE">
        <w:rPr>
          <w:rFonts w:eastAsia="Malgun Gothic" w:cs="Times New Roman"/>
          <w:szCs w:val="20"/>
          <w:lang w:eastAsia="ko-KR"/>
        </w:rPr>
        <w:t xml:space="preserve"> as regulatory additionality.</w:t>
      </w:r>
      <w:r w:rsidR="00941984">
        <w:rPr>
          <w:rStyle w:val="FootnoteReference"/>
          <w:rFonts w:eastAsia="Malgun Gothic" w:cs="Times New Roman"/>
          <w:szCs w:val="20"/>
          <w:lang w:eastAsia="ko-KR"/>
        </w:rPr>
        <w:footnoteReference w:id="31"/>
      </w:r>
      <w:r w:rsidR="00CA0ADE">
        <w:rPr>
          <w:rFonts w:eastAsia="Malgun Gothic" w:cs="Times New Roman"/>
          <w:szCs w:val="20"/>
          <w:lang w:eastAsia="ko-KR"/>
        </w:rPr>
        <w:t xml:space="preserve"> </w:t>
      </w:r>
      <w:r w:rsidR="000116BD">
        <w:rPr>
          <w:rFonts w:eastAsia="Malgun Gothic" w:cs="Times New Roman"/>
          <w:szCs w:val="20"/>
          <w:lang w:eastAsia="ko-KR"/>
        </w:rPr>
        <w:t>The Commission should not confine its definition to one or the other. In particular, the Commission should not limit its definition to regulatory additionality.</w:t>
      </w:r>
    </w:p>
    <w:p w14:paraId="2806DDB1" w14:textId="40F44814" w:rsidR="0075379E" w:rsidRDefault="008474CD" w:rsidP="008B2DE3">
      <w:pPr>
        <w:spacing w:after="120" w:line="276" w:lineRule="auto"/>
        <w:rPr>
          <w:rFonts w:eastAsia="Malgun Gothic" w:cs="Times New Roman"/>
          <w:szCs w:val="20"/>
          <w:lang w:eastAsia="ko-KR"/>
        </w:rPr>
      </w:pPr>
      <w:r>
        <w:rPr>
          <w:rFonts w:eastAsia="Malgun Gothic" w:cs="Times New Roman"/>
          <w:szCs w:val="20"/>
          <w:lang w:eastAsia="ko-KR"/>
        </w:rPr>
        <w:t>A</w:t>
      </w:r>
      <w:r w:rsidR="00941984">
        <w:rPr>
          <w:rFonts w:eastAsia="Malgun Gothic" w:cs="Times New Roman"/>
          <w:szCs w:val="20"/>
          <w:lang w:eastAsia="ko-KR"/>
        </w:rPr>
        <w:t xml:space="preserve">dditionality </w:t>
      </w:r>
      <w:r w:rsidR="00517C09">
        <w:rPr>
          <w:rFonts w:eastAsia="Malgun Gothic" w:cs="Times New Roman"/>
          <w:szCs w:val="20"/>
          <w:lang w:eastAsia="ko-KR"/>
        </w:rPr>
        <w:t>is generally viewed as consisting of</w:t>
      </w:r>
      <w:r w:rsidR="00941984">
        <w:rPr>
          <w:rFonts w:eastAsia="Malgun Gothic" w:cs="Times New Roman"/>
          <w:szCs w:val="20"/>
          <w:lang w:eastAsia="ko-KR"/>
        </w:rPr>
        <w:t xml:space="preserve"> both financial and regulatory additionality</w:t>
      </w:r>
      <w:r>
        <w:rPr>
          <w:rFonts w:eastAsia="Malgun Gothic" w:cs="Times New Roman"/>
          <w:szCs w:val="20"/>
          <w:lang w:eastAsia="ko-KR"/>
        </w:rPr>
        <w:t>.</w:t>
      </w:r>
      <w:r w:rsidR="00941984">
        <w:rPr>
          <w:rStyle w:val="FootnoteReference"/>
          <w:rFonts w:eastAsia="Malgun Gothic" w:cs="Times New Roman"/>
          <w:szCs w:val="20"/>
          <w:lang w:eastAsia="ko-KR"/>
        </w:rPr>
        <w:footnoteReference w:id="32"/>
      </w:r>
      <w:r w:rsidR="00941984">
        <w:rPr>
          <w:rFonts w:eastAsia="Malgun Gothic" w:cs="Times New Roman"/>
          <w:szCs w:val="20"/>
          <w:lang w:eastAsia="ko-KR"/>
        </w:rPr>
        <w:t xml:space="preserve"> </w:t>
      </w:r>
      <w:r w:rsidR="00517C09">
        <w:rPr>
          <w:rFonts w:eastAsia="Malgun Gothic" w:cs="Times New Roman"/>
          <w:szCs w:val="20"/>
          <w:lang w:eastAsia="ko-KR"/>
        </w:rPr>
        <w:t>But financial additionality is arguably the more important of the two components and potentially broad enough to capture regulatory additionality: A</w:t>
      </w:r>
      <w:r w:rsidR="008B2DE3">
        <w:rPr>
          <w:rFonts w:eastAsia="Malgun Gothic" w:cs="Times New Roman"/>
          <w:szCs w:val="20"/>
          <w:lang w:eastAsia="ko-KR"/>
        </w:rPr>
        <w:t xml:space="preserve"> project that would be implemented regardless of the revenue from selling </w:t>
      </w:r>
      <w:r w:rsidR="00AD1AFA">
        <w:rPr>
          <w:rFonts w:eastAsia="Malgun Gothic" w:cs="Times New Roman"/>
          <w:szCs w:val="20"/>
          <w:lang w:eastAsia="ko-KR"/>
        </w:rPr>
        <w:t>VCCs</w:t>
      </w:r>
      <w:r w:rsidR="008B2DE3">
        <w:rPr>
          <w:rFonts w:eastAsia="Malgun Gothic" w:cs="Times New Roman"/>
          <w:szCs w:val="20"/>
          <w:lang w:eastAsia="ko-KR"/>
        </w:rPr>
        <w:t xml:space="preserve">—because the project is </w:t>
      </w:r>
      <w:r w:rsidR="00517C09">
        <w:rPr>
          <w:rFonts w:eastAsia="Malgun Gothic" w:cs="Times New Roman"/>
          <w:szCs w:val="20"/>
          <w:lang w:eastAsia="ko-KR"/>
        </w:rPr>
        <w:t>legally required</w:t>
      </w:r>
      <w:r w:rsidR="008C18C1">
        <w:rPr>
          <w:rFonts w:eastAsia="Malgun Gothic" w:cs="Times New Roman"/>
          <w:szCs w:val="20"/>
          <w:lang w:eastAsia="ko-KR"/>
        </w:rPr>
        <w:t xml:space="preserve"> or</w:t>
      </w:r>
      <w:r w:rsidR="00517C09">
        <w:rPr>
          <w:rFonts w:eastAsia="Malgun Gothic" w:cs="Times New Roman"/>
          <w:szCs w:val="20"/>
          <w:lang w:eastAsia="ko-KR"/>
        </w:rPr>
        <w:t xml:space="preserve"> </w:t>
      </w:r>
      <w:r w:rsidR="008B2DE3">
        <w:rPr>
          <w:rFonts w:eastAsia="Malgun Gothic" w:cs="Times New Roman"/>
          <w:szCs w:val="20"/>
          <w:lang w:eastAsia="ko-KR"/>
        </w:rPr>
        <w:t xml:space="preserve">already planned as part of </w:t>
      </w:r>
      <w:r w:rsidR="00AD1AFA">
        <w:rPr>
          <w:rFonts w:eastAsia="Malgun Gothic" w:cs="Times New Roman"/>
          <w:szCs w:val="20"/>
          <w:lang w:eastAsia="ko-KR"/>
        </w:rPr>
        <w:t>an</w:t>
      </w:r>
      <w:r w:rsidR="008B2DE3">
        <w:rPr>
          <w:rFonts w:eastAsia="Malgun Gothic" w:cs="Times New Roman"/>
          <w:szCs w:val="20"/>
          <w:lang w:eastAsia="ko-KR"/>
        </w:rPr>
        <w:t>other business activity</w:t>
      </w:r>
      <w:r w:rsidR="00BA2870">
        <w:rPr>
          <w:rFonts w:eastAsia="Malgun Gothic" w:cs="Times New Roman"/>
          <w:szCs w:val="20"/>
          <w:lang w:eastAsia="ko-KR"/>
        </w:rPr>
        <w:t xml:space="preserve"> (</w:t>
      </w:r>
      <w:r w:rsidR="000D0C29">
        <w:rPr>
          <w:rFonts w:eastAsia="Malgun Gothic" w:cs="Times New Roman"/>
          <w:szCs w:val="20"/>
          <w:lang w:eastAsia="ko-KR"/>
        </w:rPr>
        <w:t>public relations, for example)</w:t>
      </w:r>
      <w:r w:rsidR="008B2DE3">
        <w:rPr>
          <w:rFonts w:eastAsia="Malgun Gothic" w:cs="Times New Roman"/>
          <w:szCs w:val="20"/>
          <w:lang w:eastAsia="ko-KR"/>
        </w:rPr>
        <w:t xml:space="preserve">, to generate other environmental credits (such as wetland mitigation credits), or for some other pre-existing reason—does not represent a real, additional reduction or </w:t>
      </w:r>
      <w:r w:rsidR="00AD1AFA">
        <w:rPr>
          <w:rFonts w:eastAsia="Malgun Gothic" w:cs="Times New Roman"/>
          <w:szCs w:val="20"/>
          <w:lang w:eastAsia="ko-KR"/>
        </w:rPr>
        <w:t>removal</w:t>
      </w:r>
      <w:r w:rsidR="008B2DE3">
        <w:rPr>
          <w:rFonts w:eastAsia="Malgun Gothic" w:cs="Times New Roman"/>
          <w:szCs w:val="20"/>
          <w:lang w:eastAsia="ko-KR"/>
        </w:rPr>
        <w:t xml:space="preserve"> of </w:t>
      </w:r>
      <w:r w:rsidR="00AD1AFA">
        <w:rPr>
          <w:rFonts w:eastAsia="Malgun Gothic" w:cs="Times New Roman"/>
          <w:szCs w:val="20"/>
          <w:lang w:eastAsia="ko-KR"/>
        </w:rPr>
        <w:t>GHG</w:t>
      </w:r>
      <w:r w:rsidR="008B2DE3">
        <w:rPr>
          <w:rFonts w:eastAsia="Malgun Gothic" w:cs="Times New Roman"/>
          <w:szCs w:val="20"/>
          <w:lang w:eastAsia="ko-KR"/>
        </w:rPr>
        <w:t xml:space="preserve"> emissions.</w:t>
      </w:r>
      <w:r w:rsidR="0075379E">
        <w:rPr>
          <w:rFonts w:eastAsia="Malgun Gothic" w:cs="Times New Roman"/>
          <w:szCs w:val="20"/>
          <w:lang w:eastAsia="ko-KR"/>
        </w:rPr>
        <w:t xml:space="preserve"> </w:t>
      </w:r>
    </w:p>
    <w:p w14:paraId="2917976E" w14:textId="588EF4A1" w:rsidR="00517C09" w:rsidRDefault="00517C09" w:rsidP="008B2DE3">
      <w:pPr>
        <w:spacing w:after="120" w:line="276" w:lineRule="auto"/>
        <w:rPr>
          <w:rFonts w:eastAsia="Malgun Gothic" w:cs="Times New Roman"/>
          <w:szCs w:val="20"/>
          <w:lang w:eastAsia="ko-KR"/>
        </w:rPr>
      </w:pPr>
      <w:r>
        <w:rPr>
          <w:rFonts w:eastAsia="Malgun Gothic" w:cs="Times New Roman"/>
          <w:szCs w:val="20"/>
          <w:lang w:eastAsia="ko-KR"/>
        </w:rPr>
        <w:t>Yet t</w:t>
      </w:r>
      <w:r w:rsidR="00920819">
        <w:t>he Guidance’s only example of a project that would not meet the Commission’s proposed definition</w:t>
      </w:r>
      <w:r>
        <w:t xml:space="preserve"> of additionality</w:t>
      </w:r>
      <w:r w:rsidR="000116BD">
        <w:t xml:space="preserve"> </w:t>
      </w:r>
      <w:r w:rsidR="000116BD" w:rsidRPr="000116BD">
        <w:t>focuses exclusively on</w:t>
      </w:r>
      <w:r w:rsidR="000116BD">
        <w:t xml:space="preserve"> regulatory additionality</w:t>
      </w:r>
      <w:r w:rsidR="007F04BE">
        <w:t>.</w:t>
      </w:r>
      <w:r w:rsidR="0075379E">
        <w:rPr>
          <w:rStyle w:val="FootnoteReference"/>
          <w:rFonts w:eastAsia="Malgun Gothic" w:cs="Times New Roman"/>
          <w:szCs w:val="20"/>
          <w:lang w:eastAsia="ko-KR"/>
        </w:rPr>
        <w:footnoteReference w:id="33"/>
      </w:r>
      <w:r w:rsidR="008B2DE3">
        <w:rPr>
          <w:rFonts w:eastAsia="Malgun Gothic" w:cs="Times New Roman"/>
          <w:szCs w:val="20"/>
          <w:lang w:eastAsia="ko-KR"/>
        </w:rPr>
        <w:t xml:space="preserve"> </w:t>
      </w:r>
      <w:r>
        <w:rPr>
          <w:rFonts w:eastAsia="Malgun Gothic" w:cs="Times New Roman"/>
          <w:szCs w:val="20"/>
          <w:lang w:eastAsia="ko-KR"/>
        </w:rPr>
        <w:t>As noted, d</w:t>
      </w:r>
      <w:r w:rsidR="008B2DE3">
        <w:rPr>
          <w:rFonts w:eastAsia="Malgun Gothic" w:cs="Times New Roman"/>
          <w:szCs w:val="20"/>
          <w:lang w:eastAsia="ko-KR"/>
        </w:rPr>
        <w:t>efining financial additionality to encompass regulatory additionality may be a reasonable approach</w:t>
      </w:r>
      <w:r w:rsidR="00EA1DBA">
        <w:rPr>
          <w:rFonts w:eastAsia="Malgun Gothic" w:cs="Times New Roman"/>
          <w:szCs w:val="20"/>
          <w:lang w:eastAsia="ko-KR"/>
        </w:rPr>
        <w:t>:</w:t>
      </w:r>
      <w:r w:rsidR="008B2DE3">
        <w:rPr>
          <w:rFonts w:eastAsia="Malgun Gothic" w:cs="Times New Roman"/>
          <w:szCs w:val="20"/>
          <w:lang w:eastAsia="ko-KR"/>
        </w:rPr>
        <w:t xml:space="preserve"> </w:t>
      </w:r>
      <w:r w:rsidR="00EA1DBA">
        <w:rPr>
          <w:rFonts w:eastAsia="Malgun Gothic" w:cs="Times New Roman"/>
          <w:szCs w:val="20"/>
          <w:lang w:eastAsia="ko-KR"/>
        </w:rPr>
        <w:t>I</w:t>
      </w:r>
      <w:r w:rsidR="008B2DE3">
        <w:rPr>
          <w:rFonts w:eastAsia="Malgun Gothic" w:cs="Times New Roman"/>
          <w:szCs w:val="20"/>
          <w:lang w:eastAsia="ko-KR"/>
        </w:rPr>
        <w:t xml:space="preserve">f an activity is legally required, then it would have been undertaken even </w:t>
      </w:r>
      <w:r w:rsidR="00BA2870">
        <w:rPr>
          <w:rFonts w:eastAsia="Malgun Gothic" w:cs="Times New Roman"/>
          <w:szCs w:val="20"/>
          <w:lang w:eastAsia="ko-KR"/>
        </w:rPr>
        <w:t>without</w:t>
      </w:r>
      <w:r w:rsidR="008B2DE3">
        <w:rPr>
          <w:rFonts w:eastAsia="Malgun Gothic" w:cs="Times New Roman"/>
          <w:szCs w:val="20"/>
          <w:lang w:eastAsia="ko-KR"/>
        </w:rPr>
        <w:t xml:space="preserve"> the added monetary incentive created by the</w:t>
      </w:r>
      <w:r w:rsidR="00BA2870">
        <w:rPr>
          <w:rFonts w:eastAsia="Malgun Gothic" w:cs="Times New Roman"/>
          <w:szCs w:val="20"/>
          <w:lang w:eastAsia="ko-KR"/>
        </w:rPr>
        <w:t xml:space="preserve"> potential</w:t>
      </w:r>
      <w:r w:rsidR="008B2DE3">
        <w:rPr>
          <w:rFonts w:eastAsia="Malgun Gothic" w:cs="Times New Roman"/>
          <w:szCs w:val="20"/>
          <w:lang w:eastAsia="ko-KR"/>
        </w:rPr>
        <w:t xml:space="preserve"> revenue from </w:t>
      </w:r>
      <w:r w:rsidR="00BA2870">
        <w:rPr>
          <w:rFonts w:eastAsia="Malgun Gothic" w:cs="Times New Roman"/>
          <w:szCs w:val="20"/>
          <w:lang w:eastAsia="ko-KR"/>
        </w:rPr>
        <w:t>VCCs</w:t>
      </w:r>
      <w:r w:rsidR="008B2DE3">
        <w:rPr>
          <w:rFonts w:eastAsia="Malgun Gothic" w:cs="Times New Roman"/>
          <w:szCs w:val="20"/>
          <w:lang w:eastAsia="ko-KR"/>
        </w:rPr>
        <w:t xml:space="preserve">, and so </w:t>
      </w:r>
      <w:r w:rsidR="004F7A08">
        <w:rPr>
          <w:rFonts w:eastAsia="Malgun Gothic" w:cs="Times New Roman"/>
          <w:szCs w:val="20"/>
          <w:lang w:eastAsia="ko-KR"/>
        </w:rPr>
        <w:t xml:space="preserve">would fail </w:t>
      </w:r>
      <w:r w:rsidR="008B2DE3">
        <w:rPr>
          <w:rFonts w:eastAsia="Malgun Gothic" w:cs="Times New Roman"/>
          <w:szCs w:val="20"/>
          <w:lang w:eastAsia="ko-KR"/>
        </w:rPr>
        <w:t xml:space="preserve">the financial additionality test). </w:t>
      </w:r>
      <w:r w:rsidR="004F7A08">
        <w:rPr>
          <w:rFonts w:eastAsia="Malgun Gothic" w:cs="Times New Roman"/>
          <w:szCs w:val="20"/>
          <w:lang w:eastAsia="ko-KR"/>
        </w:rPr>
        <w:t>But</w:t>
      </w:r>
      <w:r w:rsidR="008B2DE3">
        <w:rPr>
          <w:rFonts w:eastAsia="Malgun Gothic" w:cs="Times New Roman"/>
          <w:szCs w:val="20"/>
          <w:lang w:eastAsia="ko-KR"/>
        </w:rPr>
        <w:t xml:space="preserve"> </w:t>
      </w:r>
      <w:r>
        <w:rPr>
          <w:rFonts w:eastAsia="Malgun Gothic" w:cs="Times New Roman"/>
          <w:szCs w:val="20"/>
          <w:lang w:eastAsia="ko-KR"/>
        </w:rPr>
        <w:t xml:space="preserve">the </w:t>
      </w:r>
      <w:r w:rsidR="008B2DE3">
        <w:rPr>
          <w:rFonts w:eastAsia="Malgun Gothic" w:cs="Times New Roman"/>
          <w:szCs w:val="20"/>
          <w:lang w:eastAsia="ko-KR"/>
        </w:rPr>
        <w:t>Guidance’s current definition could cause confusion among DCMs</w:t>
      </w:r>
      <w:r w:rsidR="004F7A08">
        <w:rPr>
          <w:rFonts w:eastAsia="Malgun Gothic" w:cs="Times New Roman"/>
          <w:szCs w:val="20"/>
          <w:lang w:eastAsia="ko-KR"/>
        </w:rPr>
        <w:t xml:space="preserve"> and market participants</w:t>
      </w:r>
      <w:r w:rsidR="008B2DE3">
        <w:rPr>
          <w:rFonts w:eastAsia="Malgun Gothic" w:cs="Times New Roman"/>
          <w:szCs w:val="20"/>
          <w:lang w:eastAsia="ko-KR"/>
        </w:rPr>
        <w:t xml:space="preserve">, as it may appear that the Commission has conflated financial additionality with regulatory additionality or cares </w:t>
      </w:r>
      <w:r w:rsidR="007F04BE">
        <w:rPr>
          <w:rFonts w:eastAsia="Malgun Gothic" w:cs="Times New Roman"/>
          <w:szCs w:val="20"/>
          <w:lang w:eastAsia="ko-KR"/>
        </w:rPr>
        <w:t xml:space="preserve">mainly </w:t>
      </w:r>
      <w:r w:rsidR="008B2DE3">
        <w:rPr>
          <w:rFonts w:eastAsia="Malgun Gothic" w:cs="Times New Roman"/>
          <w:szCs w:val="20"/>
          <w:lang w:eastAsia="ko-KR"/>
        </w:rPr>
        <w:t>about regulatory additionality.</w:t>
      </w:r>
    </w:p>
    <w:p w14:paraId="3C72AFCD" w14:textId="654C3549" w:rsidR="008B2DE3" w:rsidRDefault="008B2DE3" w:rsidP="008B2DE3">
      <w:pPr>
        <w:spacing w:after="120" w:line="276" w:lineRule="auto"/>
        <w:rPr>
          <w:rFonts w:eastAsia="Malgun Gothic" w:cs="Times New Roman"/>
          <w:szCs w:val="20"/>
          <w:lang w:eastAsia="ko-KR"/>
        </w:rPr>
      </w:pPr>
      <w:r>
        <w:rPr>
          <w:rFonts w:eastAsia="Malgun Gothic" w:cs="Times New Roman"/>
          <w:szCs w:val="20"/>
          <w:lang w:eastAsia="ko-KR"/>
        </w:rPr>
        <w:lastRenderedPageBreak/>
        <w:t xml:space="preserve">To rectify that potential conflation, the Commission should </w:t>
      </w:r>
      <w:r w:rsidR="00517C09">
        <w:rPr>
          <w:rFonts w:eastAsia="Malgun Gothic" w:cs="Times New Roman"/>
          <w:szCs w:val="20"/>
          <w:lang w:eastAsia="ko-KR"/>
        </w:rPr>
        <w:t xml:space="preserve">stress that financial additionality is a key component of additionality and also </w:t>
      </w:r>
      <w:r>
        <w:rPr>
          <w:rFonts w:eastAsia="Malgun Gothic" w:cs="Times New Roman"/>
          <w:szCs w:val="20"/>
          <w:lang w:eastAsia="ko-KR"/>
        </w:rPr>
        <w:t xml:space="preserve">provide other examples of financial additionality. In particular, the Commission should specify that </w:t>
      </w:r>
      <w:r w:rsidR="000D0C29">
        <w:rPr>
          <w:rFonts w:eastAsia="Malgun Gothic" w:cs="Times New Roman"/>
          <w:szCs w:val="20"/>
          <w:lang w:eastAsia="ko-KR"/>
        </w:rPr>
        <w:t xml:space="preserve">VCCs from </w:t>
      </w:r>
      <w:r>
        <w:rPr>
          <w:rFonts w:eastAsia="Malgun Gothic" w:cs="Times New Roman"/>
          <w:szCs w:val="20"/>
          <w:lang w:eastAsia="ko-KR"/>
        </w:rPr>
        <w:t xml:space="preserve">projects planned for other business reasons, </w:t>
      </w:r>
      <w:r w:rsidR="00247236">
        <w:rPr>
          <w:rFonts w:eastAsia="Malgun Gothic" w:cs="Times New Roman"/>
          <w:szCs w:val="20"/>
          <w:lang w:eastAsia="ko-KR"/>
        </w:rPr>
        <w:t xml:space="preserve">such as </w:t>
      </w:r>
      <w:r>
        <w:rPr>
          <w:rFonts w:eastAsia="Malgun Gothic" w:cs="Times New Roman"/>
          <w:szCs w:val="20"/>
          <w:lang w:eastAsia="ko-KR"/>
        </w:rPr>
        <w:t xml:space="preserve">public relations, </w:t>
      </w:r>
      <w:r w:rsidR="000D0C29">
        <w:rPr>
          <w:rFonts w:eastAsia="Malgun Gothic" w:cs="Times New Roman"/>
          <w:szCs w:val="20"/>
          <w:lang w:eastAsia="ko-KR"/>
        </w:rPr>
        <w:t>would not be additional</w:t>
      </w:r>
      <w:r>
        <w:rPr>
          <w:rFonts w:eastAsia="Malgun Gothic" w:cs="Times New Roman"/>
          <w:szCs w:val="20"/>
          <w:lang w:eastAsia="ko-KR"/>
        </w:rPr>
        <w:t xml:space="preserve">. </w:t>
      </w:r>
      <w:r w:rsidR="00464A72">
        <w:rPr>
          <w:rFonts w:eastAsia="Malgun Gothic" w:cs="Times New Roman"/>
          <w:szCs w:val="20"/>
          <w:lang w:eastAsia="ko-KR"/>
        </w:rPr>
        <w:t>Similarly, i</w:t>
      </w:r>
      <w:r>
        <w:rPr>
          <w:rFonts w:eastAsia="Malgun Gothic" w:cs="Times New Roman"/>
          <w:szCs w:val="20"/>
          <w:lang w:eastAsia="ko-KR"/>
        </w:rPr>
        <w:t xml:space="preserve">f the monetary incentive created by </w:t>
      </w:r>
      <w:r w:rsidR="008402D5">
        <w:rPr>
          <w:rFonts w:eastAsia="Malgun Gothic" w:cs="Times New Roman"/>
          <w:szCs w:val="20"/>
          <w:lang w:eastAsia="ko-KR"/>
        </w:rPr>
        <w:t xml:space="preserve">potential revenue from VCCs </w:t>
      </w:r>
      <w:r>
        <w:rPr>
          <w:rFonts w:eastAsia="Malgun Gothic" w:cs="Times New Roman"/>
          <w:szCs w:val="20"/>
          <w:lang w:eastAsia="ko-KR"/>
        </w:rPr>
        <w:t>prompts the expansion of an already</w:t>
      </w:r>
      <w:r w:rsidR="00247236">
        <w:rPr>
          <w:rFonts w:eastAsia="Malgun Gothic" w:cs="Times New Roman"/>
          <w:szCs w:val="20"/>
          <w:lang w:eastAsia="ko-KR"/>
        </w:rPr>
        <w:t>-</w:t>
      </w:r>
      <w:r>
        <w:rPr>
          <w:rFonts w:eastAsia="Malgun Gothic" w:cs="Times New Roman"/>
          <w:szCs w:val="20"/>
          <w:lang w:eastAsia="ko-KR"/>
        </w:rPr>
        <w:t xml:space="preserve">planned project, only the </w:t>
      </w:r>
      <w:r w:rsidR="00BA7442">
        <w:rPr>
          <w:rFonts w:eastAsia="Malgun Gothic" w:cs="Times New Roman"/>
          <w:szCs w:val="20"/>
          <w:lang w:eastAsia="ko-KR"/>
        </w:rPr>
        <w:t xml:space="preserve">extra </w:t>
      </w:r>
      <w:r w:rsidR="008402D5">
        <w:rPr>
          <w:rFonts w:eastAsia="Malgun Gothic" w:cs="Times New Roman"/>
          <w:szCs w:val="20"/>
          <w:lang w:eastAsia="ko-KR"/>
        </w:rPr>
        <w:t>emissions</w:t>
      </w:r>
      <w:r>
        <w:rPr>
          <w:rFonts w:eastAsia="Malgun Gothic" w:cs="Times New Roman"/>
          <w:szCs w:val="20"/>
          <w:lang w:eastAsia="ko-KR"/>
        </w:rPr>
        <w:t xml:space="preserve"> reductions or </w:t>
      </w:r>
      <w:r w:rsidR="00247236">
        <w:rPr>
          <w:rFonts w:eastAsia="Malgun Gothic" w:cs="Times New Roman"/>
          <w:szCs w:val="20"/>
          <w:lang w:eastAsia="ko-KR"/>
        </w:rPr>
        <w:t>removals</w:t>
      </w:r>
      <w:r>
        <w:rPr>
          <w:rFonts w:eastAsia="Malgun Gothic" w:cs="Times New Roman"/>
          <w:szCs w:val="20"/>
          <w:lang w:eastAsia="ko-KR"/>
        </w:rPr>
        <w:t xml:space="preserve"> attributable to the expansion </w:t>
      </w:r>
      <w:r w:rsidR="000D0C29">
        <w:rPr>
          <w:rFonts w:eastAsia="Malgun Gothic" w:cs="Times New Roman"/>
          <w:szCs w:val="20"/>
          <w:lang w:eastAsia="ko-KR"/>
        </w:rPr>
        <w:t xml:space="preserve">should </w:t>
      </w:r>
      <w:r>
        <w:rPr>
          <w:rFonts w:eastAsia="Malgun Gothic" w:cs="Times New Roman"/>
          <w:szCs w:val="20"/>
          <w:lang w:eastAsia="ko-KR"/>
        </w:rPr>
        <w:t xml:space="preserve">count as additional. </w:t>
      </w:r>
      <w:r w:rsidR="00EA1DBA">
        <w:rPr>
          <w:rFonts w:eastAsia="Malgun Gothic" w:cs="Times New Roman"/>
          <w:szCs w:val="20"/>
          <w:lang w:eastAsia="ko-KR"/>
        </w:rPr>
        <w:t>Moreover</w:t>
      </w:r>
      <w:r w:rsidR="006C2133">
        <w:rPr>
          <w:rFonts w:eastAsia="Malgun Gothic" w:cs="Times New Roman"/>
          <w:szCs w:val="20"/>
          <w:lang w:eastAsia="ko-KR"/>
        </w:rPr>
        <w:t xml:space="preserve">, </w:t>
      </w:r>
      <w:r>
        <w:rPr>
          <w:rFonts w:eastAsia="Malgun Gothic" w:cs="Times New Roman"/>
          <w:szCs w:val="20"/>
          <w:lang w:eastAsia="ko-KR"/>
        </w:rPr>
        <w:t xml:space="preserve">a single project can </w:t>
      </w:r>
      <w:r w:rsidR="006C2133">
        <w:rPr>
          <w:rFonts w:eastAsia="Malgun Gothic" w:cs="Times New Roman"/>
          <w:szCs w:val="20"/>
          <w:lang w:eastAsia="ko-KR"/>
        </w:rPr>
        <w:t xml:space="preserve">sometimes </w:t>
      </w:r>
      <w:r>
        <w:rPr>
          <w:rFonts w:eastAsia="Malgun Gothic" w:cs="Times New Roman"/>
          <w:szCs w:val="20"/>
          <w:lang w:eastAsia="ko-KR"/>
        </w:rPr>
        <w:t>generate multiple</w:t>
      </w:r>
      <w:r w:rsidR="006C2133">
        <w:rPr>
          <w:rFonts w:eastAsia="Malgun Gothic" w:cs="Times New Roman"/>
          <w:szCs w:val="20"/>
          <w:lang w:eastAsia="ko-KR"/>
        </w:rPr>
        <w:t>—or “stacked”—</w:t>
      </w:r>
      <w:r>
        <w:rPr>
          <w:rFonts w:eastAsia="Malgun Gothic" w:cs="Times New Roman"/>
          <w:szCs w:val="20"/>
          <w:lang w:eastAsia="ko-KR"/>
        </w:rPr>
        <w:t>environmental</w:t>
      </w:r>
      <w:r w:rsidR="006C2133">
        <w:rPr>
          <w:rFonts w:eastAsia="Malgun Gothic" w:cs="Times New Roman"/>
          <w:szCs w:val="20"/>
          <w:lang w:eastAsia="ko-KR"/>
        </w:rPr>
        <w:t xml:space="preserve"> </w:t>
      </w:r>
      <w:r>
        <w:rPr>
          <w:rFonts w:eastAsia="Malgun Gothic" w:cs="Times New Roman"/>
          <w:szCs w:val="20"/>
          <w:lang w:eastAsia="ko-KR"/>
        </w:rPr>
        <w:t>credits (</w:t>
      </w:r>
      <w:r w:rsidR="00EA1DBA">
        <w:rPr>
          <w:rFonts w:eastAsia="Malgun Gothic" w:cs="Times New Roman"/>
          <w:szCs w:val="20"/>
          <w:lang w:eastAsia="ko-KR"/>
        </w:rPr>
        <w:t>for example,</w:t>
      </w:r>
      <w:r>
        <w:rPr>
          <w:rFonts w:eastAsia="Malgun Gothic" w:cs="Times New Roman"/>
          <w:szCs w:val="20"/>
          <w:lang w:eastAsia="ko-KR"/>
        </w:rPr>
        <w:t xml:space="preserve"> both wetland mitigation credits and carbon credits). If a project was already planned based on the monetary incentive created by non-carbon environmental credits,</w:t>
      </w:r>
      <w:r w:rsidR="00BA7442">
        <w:rPr>
          <w:rFonts w:eastAsia="Malgun Gothic" w:cs="Times New Roman"/>
          <w:szCs w:val="20"/>
          <w:lang w:eastAsia="ko-KR"/>
        </w:rPr>
        <w:t xml:space="preserve"> such that the </w:t>
      </w:r>
      <w:r w:rsidR="00911F78">
        <w:rPr>
          <w:rFonts w:eastAsia="Malgun Gothic" w:cs="Times New Roman"/>
          <w:szCs w:val="20"/>
          <w:lang w:eastAsia="ko-KR"/>
        </w:rPr>
        <w:t xml:space="preserve">project </w:t>
      </w:r>
      <w:r w:rsidR="00BA7442">
        <w:rPr>
          <w:rFonts w:eastAsia="Malgun Gothic" w:cs="Times New Roman"/>
          <w:szCs w:val="20"/>
          <w:lang w:eastAsia="ko-KR"/>
        </w:rPr>
        <w:t xml:space="preserve">would have been implemented even without the additional monetary incentive from the </w:t>
      </w:r>
      <w:r w:rsidR="000D0C29">
        <w:rPr>
          <w:rFonts w:eastAsia="Malgun Gothic" w:cs="Times New Roman"/>
          <w:szCs w:val="20"/>
          <w:lang w:eastAsia="ko-KR"/>
        </w:rPr>
        <w:t>VCCs</w:t>
      </w:r>
      <w:r w:rsidR="00BA7442">
        <w:rPr>
          <w:rFonts w:eastAsia="Malgun Gothic" w:cs="Times New Roman"/>
          <w:szCs w:val="20"/>
          <w:lang w:eastAsia="ko-KR"/>
        </w:rPr>
        <w:t>,</w:t>
      </w:r>
      <w:r>
        <w:rPr>
          <w:rFonts w:eastAsia="Malgun Gothic" w:cs="Times New Roman"/>
          <w:szCs w:val="20"/>
          <w:lang w:eastAsia="ko-KR"/>
        </w:rPr>
        <w:t xml:space="preserve"> then any carbon reductions or </w:t>
      </w:r>
      <w:r w:rsidR="00EB7BB3">
        <w:rPr>
          <w:rFonts w:eastAsia="Malgun Gothic" w:cs="Times New Roman"/>
          <w:szCs w:val="20"/>
          <w:lang w:eastAsia="ko-KR"/>
        </w:rPr>
        <w:t xml:space="preserve">removals </w:t>
      </w:r>
      <w:r>
        <w:rPr>
          <w:rFonts w:eastAsia="Malgun Gothic" w:cs="Times New Roman"/>
          <w:szCs w:val="20"/>
          <w:lang w:eastAsia="ko-KR"/>
        </w:rPr>
        <w:t xml:space="preserve">achieved by that </w:t>
      </w:r>
      <w:r w:rsidR="007172C0">
        <w:rPr>
          <w:rFonts w:eastAsia="Malgun Gothic" w:cs="Times New Roman"/>
          <w:szCs w:val="20"/>
          <w:lang w:eastAsia="ko-KR"/>
        </w:rPr>
        <w:t xml:space="preserve">project </w:t>
      </w:r>
      <w:r>
        <w:rPr>
          <w:rFonts w:eastAsia="Malgun Gothic" w:cs="Times New Roman"/>
          <w:szCs w:val="20"/>
          <w:lang w:eastAsia="ko-KR"/>
        </w:rPr>
        <w:t>should not count as additional.</w:t>
      </w:r>
      <w:r w:rsidR="006C2133">
        <w:rPr>
          <w:rStyle w:val="FootnoteReference"/>
          <w:rFonts w:eastAsia="Malgun Gothic" w:cs="Times New Roman"/>
          <w:szCs w:val="20"/>
          <w:lang w:eastAsia="ko-KR"/>
        </w:rPr>
        <w:footnoteReference w:id="34"/>
      </w:r>
    </w:p>
    <w:p w14:paraId="12CFF42E" w14:textId="56AE49F3" w:rsidR="00856DA3" w:rsidRPr="008C6549" w:rsidRDefault="00C93F29" w:rsidP="00AE0F40">
      <w:pPr>
        <w:pStyle w:val="ListParagraph"/>
        <w:keepNext/>
        <w:numPr>
          <w:ilvl w:val="1"/>
          <w:numId w:val="1"/>
        </w:numPr>
        <w:spacing w:after="120"/>
        <w:rPr>
          <w:rFonts w:eastAsia="Malgun Gothic"/>
          <w:b/>
        </w:rPr>
      </w:pPr>
      <w:r>
        <w:rPr>
          <w:rFonts w:eastAsia="Malgun Gothic"/>
          <w:b/>
        </w:rPr>
        <w:t xml:space="preserve">The </w:t>
      </w:r>
      <w:r w:rsidR="005B4E3A">
        <w:rPr>
          <w:rFonts w:eastAsia="Malgun Gothic"/>
          <w:b/>
        </w:rPr>
        <w:t>C</w:t>
      </w:r>
      <w:r w:rsidR="00361DF7">
        <w:rPr>
          <w:rFonts w:eastAsia="Malgun Gothic"/>
          <w:b/>
        </w:rPr>
        <w:t>ommission</w:t>
      </w:r>
      <w:r w:rsidR="005B4E3A">
        <w:rPr>
          <w:rFonts w:eastAsia="Malgun Gothic"/>
          <w:b/>
        </w:rPr>
        <w:t xml:space="preserve"> should</w:t>
      </w:r>
      <w:r w:rsidR="00A35A4B">
        <w:rPr>
          <w:rFonts w:eastAsia="Malgun Gothic"/>
          <w:b/>
        </w:rPr>
        <w:t xml:space="preserve"> add a recommendation</w:t>
      </w:r>
      <w:r w:rsidR="00BE7CAF">
        <w:rPr>
          <w:rFonts w:eastAsia="Malgun Gothic"/>
          <w:b/>
        </w:rPr>
        <w:t xml:space="preserve"> that addresses</w:t>
      </w:r>
      <w:r w:rsidR="00A35A4B">
        <w:rPr>
          <w:rFonts w:eastAsia="Malgun Gothic"/>
          <w:b/>
        </w:rPr>
        <w:t xml:space="preserve"> leakage risk. </w:t>
      </w:r>
    </w:p>
    <w:p w14:paraId="054FDA16" w14:textId="2384ADDD" w:rsidR="00E76460" w:rsidRDefault="00BE7CAF" w:rsidP="002E4A00">
      <w:pPr>
        <w:spacing w:after="120" w:line="276" w:lineRule="auto"/>
        <w:rPr>
          <w:rFonts w:eastAsia="Malgun Gothic" w:cs="Times New Roman"/>
          <w:szCs w:val="20"/>
          <w:lang w:eastAsia="ko-KR"/>
        </w:rPr>
      </w:pPr>
      <w:r>
        <w:rPr>
          <w:rFonts w:eastAsia="Malgun Gothic" w:cs="Times New Roman"/>
          <w:szCs w:val="20"/>
          <w:lang w:eastAsia="ko-KR"/>
        </w:rPr>
        <w:t>The Commission invited suggestions for additional characteristics “relevant to the listing of VCC derivative contracts” that inform the integrity of VCCs.</w:t>
      </w:r>
      <w:r>
        <w:rPr>
          <w:rStyle w:val="FootnoteReference"/>
          <w:rFonts w:eastAsia="Malgun Gothic" w:cs="Times New Roman"/>
          <w:szCs w:val="20"/>
          <w:lang w:eastAsia="ko-KR"/>
        </w:rPr>
        <w:footnoteReference w:id="35"/>
      </w:r>
      <w:r>
        <w:rPr>
          <w:rFonts w:eastAsia="Malgun Gothic" w:cs="Times New Roman"/>
          <w:szCs w:val="20"/>
          <w:lang w:eastAsia="ko-KR"/>
        </w:rPr>
        <w:t xml:space="preserve"> </w:t>
      </w:r>
      <w:r w:rsidR="008B2DE3">
        <w:rPr>
          <w:rFonts w:eastAsia="Malgun Gothic" w:cs="Times New Roman"/>
          <w:szCs w:val="20"/>
          <w:lang w:eastAsia="ko-KR"/>
        </w:rPr>
        <w:t>The</w:t>
      </w:r>
      <w:r w:rsidR="008474CD">
        <w:rPr>
          <w:rFonts w:eastAsia="Malgun Gothic" w:cs="Times New Roman"/>
          <w:szCs w:val="20"/>
          <w:lang w:eastAsia="ko-KR"/>
        </w:rPr>
        <w:t xml:space="preserve"> </w:t>
      </w:r>
      <w:r w:rsidR="008B2DE3">
        <w:rPr>
          <w:rFonts w:eastAsia="Malgun Gothic" w:cs="Times New Roman"/>
          <w:szCs w:val="20"/>
          <w:lang w:eastAsia="ko-KR"/>
        </w:rPr>
        <w:t>Commission</w:t>
      </w:r>
      <w:r>
        <w:rPr>
          <w:rFonts w:eastAsia="Malgun Gothic" w:cs="Times New Roman"/>
          <w:szCs w:val="20"/>
          <w:lang w:eastAsia="ko-KR"/>
        </w:rPr>
        <w:t xml:space="preserve"> </w:t>
      </w:r>
      <w:r w:rsidR="008B2DE3">
        <w:rPr>
          <w:rFonts w:eastAsia="Malgun Gothic" w:cs="Times New Roman"/>
          <w:szCs w:val="20"/>
          <w:lang w:eastAsia="ko-KR"/>
        </w:rPr>
        <w:t>should</w:t>
      </w:r>
      <w:r>
        <w:rPr>
          <w:rFonts w:eastAsia="Malgun Gothic" w:cs="Times New Roman"/>
          <w:szCs w:val="20"/>
          <w:lang w:eastAsia="ko-KR"/>
        </w:rPr>
        <w:t xml:space="preserve"> </w:t>
      </w:r>
      <w:r w:rsidR="001724A2">
        <w:rPr>
          <w:rFonts w:eastAsia="Malgun Gothic" w:cs="Times New Roman"/>
          <w:szCs w:val="20"/>
          <w:lang w:eastAsia="ko-KR"/>
        </w:rPr>
        <w:t xml:space="preserve">add </w:t>
      </w:r>
      <w:r>
        <w:rPr>
          <w:rFonts w:eastAsia="Malgun Gothic" w:cs="Times New Roman"/>
          <w:szCs w:val="20"/>
          <w:lang w:eastAsia="ko-KR"/>
        </w:rPr>
        <w:t>a recommendation that addresses leakage risk.</w:t>
      </w:r>
      <w:r w:rsidR="00526770">
        <w:rPr>
          <w:rStyle w:val="FootnoteReference"/>
          <w:rFonts w:eastAsia="Malgun Gothic" w:cs="Times New Roman"/>
          <w:szCs w:val="20"/>
          <w:lang w:eastAsia="ko-KR"/>
        </w:rPr>
        <w:footnoteReference w:id="36"/>
      </w:r>
      <w:r>
        <w:rPr>
          <w:rFonts w:eastAsia="Malgun Gothic" w:cs="Times New Roman"/>
          <w:szCs w:val="20"/>
          <w:lang w:eastAsia="ko-KR"/>
        </w:rPr>
        <w:t xml:space="preserve"> </w:t>
      </w:r>
      <w:r w:rsidR="00C93F29">
        <w:rPr>
          <w:rFonts w:eastAsia="Malgun Gothic" w:cs="Times New Roman"/>
          <w:szCs w:val="20"/>
          <w:lang w:eastAsia="ko-KR"/>
        </w:rPr>
        <w:t>Leakage “refers to the idea that emissions avoided at one source might shift to a different location or sector.”</w:t>
      </w:r>
      <w:r w:rsidR="00C93F29">
        <w:rPr>
          <w:rStyle w:val="FootnoteReference"/>
          <w:rFonts w:eastAsia="Malgun Gothic" w:cs="Times New Roman"/>
          <w:szCs w:val="20"/>
          <w:lang w:eastAsia="ko-KR"/>
        </w:rPr>
        <w:footnoteReference w:id="37"/>
      </w:r>
      <w:r w:rsidR="00C93F29">
        <w:rPr>
          <w:rFonts w:eastAsia="Malgun Gothic" w:cs="Times New Roman"/>
          <w:szCs w:val="20"/>
          <w:lang w:eastAsia="ko-KR"/>
        </w:rPr>
        <w:t xml:space="preserve"> For example, conserving timber forests </w:t>
      </w:r>
      <w:r w:rsidR="00986605">
        <w:rPr>
          <w:rFonts w:eastAsia="Malgun Gothic" w:cs="Times New Roman"/>
          <w:szCs w:val="20"/>
          <w:lang w:eastAsia="ko-KR"/>
        </w:rPr>
        <w:t xml:space="preserve">in one place could inadvertently encourage more harvesting of timber elsewhere, because the drop in timber quantity </w:t>
      </w:r>
      <w:r w:rsidR="008474CD">
        <w:rPr>
          <w:rFonts w:eastAsia="Malgun Gothic" w:cs="Times New Roman"/>
          <w:szCs w:val="20"/>
          <w:lang w:eastAsia="ko-KR"/>
        </w:rPr>
        <w:t xml:space="preserve">may </w:t>
      </w:r>
      <w:r w:rsidR="00986605">
        <w:rPr>
          <w:rFonts w:eastAsia="Malgun Gothic" w:cs="Times New Roman"/>
          <w:szCs w:val="20"/>
          <w:lang w:eastAsia="ko-KR"/>
        </w:rPr>
        <w:t xml:space="preserve">increase its price, incentivizing other actors to </w:t>
      </w:r>
      <w:r w:rsidR="002E30CB">
        <w:rPr>
          <w:rFonts w:eastAsia="Malgun Gothic" w:cs="Times New Roman"/>
          <w:szCs w:val="20"/>
          <w:lang w:eastAsia="ko-KR"/>
        </w:rPr>
        <w:t xml:space="preserve">cut </w:t>
      </w:r>
      <w:r w:rsidR="00986605">
        <w:rPr>
          <w:rFonts w:eastAsia="Malgun Gothic" w:cs="Times New Roman"/>
          <w:szCs w:val="20"/>
          <w:lang w:eastAsia="ko-KR"/>
        </w:rPr>
        <w:t>more timber for higher profits.</w:t>
      </w:r>
      <w:r w:rsidR="00986605">
        <w:rPr>
          <w:rStyle w:val="FootnoteReference"/>
          <w:rFonts w:eastAsia="Malgun Gothic" w:cs="Times New Roman"/>
          <w:szCs w:val="20"/>
          <w:lang w:eastAsia="ko-KR"/>
        </w:rPr>
        <w:footnoteReference w:id="38"/>
      </w:r>
      <w:r w:rsidR="00986605">
        <w:rPr>
          <w:rFonts w:eastAsia="Malgun Gothic" w:cs="Times New Roman"/>
          <w:szCs w:val="20"/>
          <w:lang w:eastAsia="ko-KR"/>
        </w:rPr>
        <w:t xml:space="preserve"> </w:t>
      </w:r>
      <w:r w:rsidR="002E30CB">
        <w:rPr>
          <w:rFonts w:eastAsia="Malgun Gothic" w:cs="Times New Roman"/>
          <w:szCs w:val="20"/>
          <w:lang w:eastAsia="ko-KR"/>
        </w:rPr>
        <w:t xml:space="preserve">If a </w:t>
      </w:r>
      <w:r w:rsidR="002E353E">
        <w:rPr>
          <w:rFonts w:eastAsia="Malgun Gothic" w:cs="Times New Roman"/>
          <w:szCs w:val="20"/>
          <w:lang w:eastAsia="ko-KR"/>
        </w:rPr>
        <w:t xml:space="preserve">project </w:t>
      </w:r>
      <w:r w:rsidR="002E30CB">
        <w:rPr>
          <w:rFonts w:eastAsia="Malgun Gothic" w:cs="Times New Roman"/>
          <w:szCs w:val="20"/>
          <w:lang w:eastAsia="ko-KR"/>
        </w:rPr>
        <w:t>avoids emissions at one source but shifts them to a different location or sector, the</w:t>
      </w:r>
      <w:r w:rsidR="002E353E">
        <w:rPr>
          <w:rFonts w:eastAsia="Malgun Gothic" w:cs="Times New Roman"/>
          <w:szCs w:val="20"/>
          <w:lang w:eastAsia="ko-KR"/>
        </w:rPr>
        <w:t xml:space="preserve"> associated</w:t>
      </w:r>
      <w:r w:rsidR="002E30CB">
        <w:rPr>
          <w:rFonts w:eastAsia="Malgun Gothic" w:cs="Times New Roman"/>
          <w:szCs w:val="20"/>
          <w:lang w:eastAsia="ko-KR"/>
        </w:rPr>
        <w:t xml:space="preserve"> VCC</w:t>
      </w:r>
      <w:r w:rsidR="006B292B">
        <w:rPr>
          <w:rFonts w:eastAsia="Malgun Gothic" w:cs="Times New Roman"/>
          <w:szCs w:val="20"/>
          <w:lang w:eastAsia="ko-KR"/>
        </w:rPr>
        <w:t>s</w:t>
      </w:r>
      <w:r w:rsidR="002E30CB">
        <w:rPr>
          <w:rFonts w:eastAsia="Malgun Gothic" w:cs="Times New Roman"/>
          <w:szCs w:val="20"/>
          <w:lang w:eastAsia="ko-KR"/>
        </w:rPr>
        <w:t xml:space="preserve"> </w:t>
      </w:r>
      <w:r w:rsidR="008474CD">
        <w:rPr>
          <w:rFonts w:eastAsia="Malgun Gothic" w:cs="Times New Roman"/>
          <w:szCs w:val="20"/>
          <w:lang w:eastAsia="ko-KR"/>
        </w:rPr>
        <w:t xml:space="preserve">may </w:t>
      </w:r>
      <w:r w:rsidR="002E30CB">
        <w:rPr>
          <w:rFonts w:eastAsia="Malgun Gothic" w:cs="Times New Roman"/>
          <w:szCs w:val="20"/>
          <w:lang w:eastAsia="ko-KR"/>
        </w:rPr>
        <w:t>not serve market participants</w:t>
      </w:r>
      <w:r w:rsidR="006B292B">
        <w:rPr>
          <w:rFonts w:eastAsia="Malgun Gothic" w:cs="Times New Roman"/>
          <w:szCs w:val="20"/>
          <w:lang w:eastAsia="ko-KR"/>
        </w:rPr>
        <w:t>’</w:t>
      </w:r>
      <w:r w:rsidR="002E30CB">
        <w:rPr>
          <w:rFonts w:eastAsia="Malgun Gothic" w:cs="Times New Roman"/>
          <w:szCs w:val="20"/>
          <w:lang w:eastAsia="ko-KR"/>
        </w:rPr>
        <w:t xml:space="preserve"> goals of contributing to emissions </w:t>
      </w:r>
      <w:r w:rsidR="000D47FB">
        <w:rPr>
          <w:rFonts w:eastAsia="Malgun Gothic" w:cs="Times New Roman"/>
          <w:szCs w:val="20"/>
          <w:lang w:eastAsia="ko-KR"/>
        </w:rPr>
        <w:t>reductions or removals</w:t>
      </w:r>
      <w:r w:rsidR="002E30CB">
        <w:rPr>
          <w:rFonts w:eastAsia="Malgun Gothic" w:cs="Times New Roman"/>
          <w:szCs w:val="20"/>
          <w:lang w:eastAsia="ko-KR"/>
        </w:rPr>
        <w:t>.</w:t>
      </w:r>
      <w:r w:rsidR="006734F1">
        <w:rPr>
          <w:rStyle w:val="FootnoteReference"/>
          <w:rFonts w:eastAsia="Malgun Gothic" w:cs="Times New Roman"/>
          <w:szCs w:val="20"/>
          <w:lang w:eastAsia="ko-KR"/>
        </w:rPr>
        <w:footnoteReference w:id="39"/>
      </w:r>
      <w:r w:rsidR="002E30CB">
        <w:rPr>
          <w:rFonts w:eastAsia="Malgun Gothic" w:cs="Times New Roman"/>
          <w:szCs w:val="20"/>
          <w:lang w:eastAsia="ko-KR"/>
        </w:rPr>
        <w:t xml:space="preserve"> </w:t>
      </w:r>
    </w:p>
    <w:p w14:paraId="324CD6AE" w14:textId="32A4BD21" w:rsidR="00A37F76" w:rsidRDefault="00275A2B" w:rsidP="002E4A00">
      <w:pPr>
        <w:spacing w:after="120" w:line="276" w:lineRule="auto"/>
        <w:rPr>
          <w:rFonts w:eastAsia="Malgun Gothic" w:cs="Times New Roman"/>
          <w:szCs w:val="20"/>
          <w:lang w:eastAsia="ko-KR"/>
        </w:rPr>
      </w:pPr>
      <w:r>
        <w:rPr>
          <w:rFonts w:eastAsia="Malgun Gothic" w:cs="Times New Roman"/>
          <w:szCs w:val="20"/>
          <w:lang w:eastAsia="ko-KR"/>
        </w:rPr>
        <w:t>Just like additionality and permanence, leakage is “a key concern for offset projects because it is essential to determine whether an emission reduction is genuine.”</w:t>
      </w:r>
      <w:r>
        <w:rPr>
          <w:rStyle w:val="FootnoteReference"/>
          <w:rFonts w:eastAsia="Malgun Gothic" w:cs="Times New Roman"/>
          <w:szCs w:val="20"/>
          <w:lang w:eastAsia="ko-KR"/>
        </w:rPr>
        <w:footnoteReference w:id="40"/>
      </w:r>
      <w:r>
        <w:rPr>
          <w:rFonts w:eastAsia="Malgun Gothic" w:cs="Times New Roman"/>
          <w:szCs w:val="20"/>
          <w:lang w:eastAsia="ko-KR"/>
        </w:rPr>
        <w:t xml:space="preserve"> </w:t>
      </w:r>
      <w:r w:rsidR="00986605">
        <w:rPr>
          <w:rFonts w:eastAsia="Malgun Gothic" w:cs="Times New Roman"/>
          <w:szCs w:val="20"/>
          <w:lang w:eastAsia="ko-KR"/>
        </w:rPr>
        <w:t>The C</w:t>
      </w:r>
      <w:r w:rsidR="00361DF7">
        <w:rPr>
          <w:rFonts w:eastAsia="Malgun Gothic" w:cs="Times New Roman"/>
          <w:szCs w:val="20"/>
          <w:lang w:eastAsia="ko-KR"/>
        </w:rPr>
        <w:t>ommission</w:t>
      </w:r>
      <w:r w:rsidR="00986605">
        <w:rPr>
          <w:rFonts w:eastAsia="Malgun Gothic" w:cs="Times New Roman"/>
          <w:szCs w:val="20"/>
          <w:lang w:eastAsia="ko-KR"/>
        </w:rPr>
        <w:t xml:space="preserve"> should </w:t>
      </w:r>
      <w:r w:rsidR="002E30CB">
        <w:rPr>
          <w:rFonts w:eastAsia="Malgun Gothic" w:cs="Times New Roman"/>
          <w:szCs w:val="20"/>
          <w:lang w:eastAsia="ko-KR"/>
        </w:rPr>
        <w:t>thus</w:t>
      </w:r>
      <w:r w:rsidR="004F7B41">
        <w:rPr>
          <w:rFonts w:eastAsia="Malgun Gothic" w:cs="Times New Roman"/>
          <w:szCs w:val="20"/>
          <w:lang w:eastAsia="ko-KR"/>
        </w:rPr>
        <w:t xml:space="preserve"> </w:t>
      </w:r>
      <w:r w:rsidR="00A35A4B">
        <w:rPr>
          <w:rFonts w:eastAsia="Malgun Gothic" w:cs="Times New Roman"/>
          <w:szCs w:val="20"/>
          <w:lang w:eastAsia="ko-KR"/>
        </w:rPr>
        <w:t>recommend that</w:t>
      </w:r>
      <w:r w:rsidR="002E30CB">
        <w:rPr>
          <w:rFonts w:eastAsia="Malgun Gothic" w:cs="Times New Roman"/>
          <w:szCs w:val="20"/>
          <w:lang w:eastAsia="ko-KR"/>
        </w:rPr>
        <w:t xml:space="preserve">, as part of </w:t>
      </w:r>
      <w:r w:rsidR="00E76460">
        <w:rPr>
          <w:rFonts w:eastAsia="Malgun Gothic" w:cs="Times New Roman"/>
          <w:szCs w:val="20"/>
          <w:lang w:eastAsia="ko-KR"/>
        </w:rPr>
        <w:t>their</w:t>
      </w:r>
      <w:r w:rsidR="002E30CB">
        <w:rPr>
          <w:rFonts w:eastAsia="Malgun Gothic" w:cs="Times New Roman"/>
          <w:szCs w:val="20"/>
          <w:lang w:eastAsia="ko-KR"/>
        </w:rPr>
        <w:t xml:space="preserve"> contract design market research,</w:t>
      </w:r>
      <w:r w:rsidR="00A35A4B">
        <w:rPr>
          <w:rFonts w:eastAsia="Malgun Gothic" w:cs="Times New Roman"/>
          <w:szCs w:val="20"/>
          <w:lang w:eastAsia="ko-KR"/>
        </w:rPr>
        <w:t xml:space="preserve"> </w:t>
      </w:r>
      <w:r w:rsidR="00381730">
        <w:rPr>
          <w:rFonts w:eastAsia="Malgun Gothic" w:cs="Times New Roman"/>
          <w:szCs w:val="20"/>
          <w:lang w:eastAsia="ko-KR"/>
        </w:rPr>
        <w:t>DCM</w:t>
      </w:r>
      <w:r w:rsidR="00A35A4B">
        <w:rPr>
          <w:rFonts w:eastAsia="Malgun Gothic" w:cs="Times New Roman"/>
          <w:szCs w:val="20"/>
          <w:lang w:eastAsia="ko-KR"/>
        </w:rPr>
        <w:t xml:space="preserve">s </w:t>
      </w:r>
      <w:r w:rsidR="002E30CB">
        <w:rPr>
          <w:rFonts w:eastAsia="Malgun Gothic" w:cs="Times New Roman"/>
          <w:szCs w:val="20"/>
          <w:lang w:eastAsia="ko-KR"/>
        </w:rPr>
        <w:t xml:space="preserve">consider whether </w:t>
      </w:r>
      <w:r w:rsidR="006734F1">
        <w:rPr>
          <w:rFonts w:eastAsia="Malgun Gothic" w:cs="Times New Roman"/>
          <w:szCs w:val="20"/>
          <w:lang w:eastAsia="ko-KR"/>
        </w:rPr>
        <w:t>crediting program</w:t>
      </w:r>
      <w:r w:rsidR="00E557A6">
        <w:rPr>
          <w:rFonts w:eastAsia="Malgun Gothic" w:cs="Times New Roman"/>
          <w:szCs w:val="20"/>
          <w:lang w:eastAsia="ko-KR"/>
        </w:rPr>
        <w:t>s</w:t>
      </w:r>
      <w:r w:rsidR="006734F1">
        <w:rPr>
          <w:rFonts w:eastAsia="Malgun Gothic" w:cs="Times New Roman"/>
          <w:szCs w:val="20"/>
          <w:lang w:eastAsia="ko-KR"/>
        </w:rPr>
        <w:t xml:space="preserve"> ha</w:t>
      </w:r>
      <w:r w:rsidR="00E557A6">
        <w:rPr>
          <w:rFonts w:eastAsia="Malgun Gothic" w:cs="Times New Roman"/>
          <w:szCs w:val="20"/>
          <w:lang w:eastAsia="ko-KR"/>
        </w:rPr>
        <w:t>ve</w:t>
      </w:r>
      <w:r w:rsidR="006734F1">
        <w:rPr>
          <w:rFonts w:eastAsia="Malgun Gothic" w:cs="Times New Roman"/>
          <w:szCs w:val="20"/>
          <w:lang w:eastAsia="ko-KR"/>
        </w:rPr>
        <w:t xml:space="preserve"> procedures in place to assess leakage risk. </w:t>
      </w:r>
      <w:r w:rsidR="009708B9">
        <w:rPr>
          <w:rFonts w:eastAsia="Malgun Gothic" w:cs="Times New Roman"/>
          <w:szCs w:val="20"/>
          <w:lang w:eastAsia="ko-KR"/>
        </w:rPr>
        <w:t xml:space="preserve">The Commission should further note that information </w:t>
      </w:r>
      <w:r w:rsidR="00CA7E58">
        <w:rPr>
          <w:rFonts w:eastAsia="Malgun Gothic" w:cs="Times New Roman"/>
          <w:szCs w:val="20"/>
          <w:lang w:eastAsia="ko-KR"/>
        </w:rPr>
        <w:t xml:space="preserve">about </w:t>
      </w:r>
      <w:r w:rsidR="009708B9">
        <w:rPr>
          <w:rFonts w:eastAsia="Malgun Gothic" w:cs="Times New Roman"/>
          <w:szCs w:val="20"/>
          <w:lang w:eastAsia="ko-KR"/>
        </w:rPr>
        <w:t xml:space="preserve">a crediting program’s procedures for assessing leakage risk </w:t>
      </w:r>
      <w:r w:rsidR="009708B9">
        <w:rPr>
          <w:rFonts w:eastAsia="Malgun Gothic" w:cs="Times New Roman"/>
          <w:szCs w:val="20"/>
          <w:lang w:eastAsia="ko-KR"/>
        </w:rPr>
        <w:lastRenderedPageBreak/>
        <w:t>may constitute an economically significant attribute of the underlying VCCs, which should be described in VCC derivatives’ terms and conditions.</w:t>
      </w:r>
      <w:r w:rsidR="007F04BE">
        <w:rPr>
          <w:rFonts w:eastAsia="Malgun Gothic" w:cs="Times New Roman"/>
          <w:szCs w:val="20"/>
          <w:lang w:eastAsia="ko-KR"/>
        </w:rPr>
        <w:t xml:space="preserve"> </w:t>
      </w:r>
    </w:p>
    <w:p w14:paraId="272EF227" w14:textId="7286A3F5" w:rsidR="00A53F90" w:rsidRDefault="00275A2B" w:rsidP="002E4A00">
      <w:pPr>
        <w:spacing w:after="120" w:line="276" w:lineRule="auto"/>
        <w:rPr>
          <w:rFonts w:eastAsia="Malgun Gothic" w:cs="Times New Roman"/>
          <w:szCs w:val="20"/>
          <w:lang w:eastAsia="ko-KR"/>
        </w:rPr>
      </w:pPr>
      <w:r>
        <w:rPr>
          <w:rFonts w:eastAsia="Malgun Gothic" w:cs="Times New Roman"/>
          <w:szCs w:val="20"/>
          <w:lang w:eastAsia="ko-KR"/>
        </w:rPr>
        <w:t>Alternatively,</w:t>
      </w:r>
      <w:r w:rsidR="009708B9">
        <w:rPr>
          <w:rFonts w:eastAsia="Malgun Gothic" w:cs="Times New Roman"/>
          <w:szCs w:val="20"/>
          <w:lang w:eastAsia="ko-KR"/>
        </w:rPr>
        <w:t xml:space="preserve"> the Commission could </w:t>
      </w:r>
      <w:r w:rsidR="008C18C1">
        <w:rPr>
          <w:rFonts w:eastAsia="Malgun Gothic" w:cs="Times New Roman"/>
          <w:szCs w:val="20"/>
          <w:lang w:eastAsia="ko-KR"/>
        </w:rPr>
        <w:t xml:space="preserve">instead </w:t>
      </w:r>
      <w:r w:rsidR="00DC23A6">
        <w:rPr>
          <w:rFonts w:eastAsia="Malgun Gothic" w:cs="Times New Roman"/>
          <w:szCs w:val="20"/>
          <w:lang w:eastAsia="ko-KR"/>
        </w:rPr>
        <w:t>highlight</w:t>
      </w:r>
      <w:r w:rsidR="004F7B41">
        <w:rPr>
          <w:rFonts w:eastAsia="Malgun Gothic" w:cs="Times New Roman"/>
          <w:szCs w:val="20"/>
          <w:lang w:eastAsia="ko-KR"/>
        </w:rPr>
        <w:t xml:space="preserve"> leakage risk in its recommendation on robust quantification</w:t>
      </w:r>
      <w:r>
        <w:rPr>
          <w:rFonts w:eastAsia="Malgun Gothic" w:cs="Times New Roman"/>
          <w:szCs w:val="20"/>
          <w:lang w:eastAsia="ko-KR"/>
        </w:rPr>
        <w:t xml:space="preserve"> because accounting for leakage risk is sometimes viewed as an element of quantification.</w:t>
      </w:r>
      <w:r>
        <w:rPr>
          <w:rStyle w:val="FootnoteReference"/>
          <w:rFonts w:eastAsia="Malgun Gothic" w:cs="Times New Roman"/>
          <w:szCs w:val="20"/>
          <w:lang w:eastAsia="ko-KR"/>
        </w:rPr>
        <w:footnoteReference w:id="41"/>
      </w:r>
      <w:r>
        <w:rPr>
          <w:rFonts w:eastAsia="Malgun Gothic" w:cs="Times New Roman"/>
          <w:szCs w:val="20"/>
          <w:lang w:eastAsia="ko-KR"/>
        </w:rPr>
        <w:t xml:space="preserve"> </w:t>
      </w:r>
    </w:p>
    <w:p w14:paraId="64B4C2A3" w14:textId="77777777" w:rsidR="007166D5" w:rsidRDefault="007166D5" w:rsidP="00AE0F40">
      <w:pPr>
        <w:pStyle w:val="ListParagraph"/>
        <w:keepNext/>
        <w:numPr>
          <w:ilvl w:val="1"/>
          <w:numId w:val="1"/>
        </w:numPr>
        <w:spacing w:after="120"/>
        <w:rPr>
          <w:rFonts w:eastAsia="Malgun Gothic"/>
          <w:b/>
        </w:rPr>
      </w:pPr>
      <w:r>
        <w:rPr>
          <w:rFonts w:eastAsia="Malgun Gothic"/>
          <w:b/>
        </w:rPr>
        <w:t>The Commission should provide an example of a “conservative” methodology for quantification, such as the inclusion of an uncertainty ratio.</w:t>
      </w:r>
    </w:p>
    <w:p w14:paraId="752AF5AD" w14:textId="0699B3AD" w:rsidR="00275A2B" w:rsidRDefault="00BA1165" w:rsidP="007166D5">
      <w:pPr>
        <w:spacing w:after="120" w:line="276" w:lineRule="auto"/>
        <w:rPr>
          <w:rFonts w:eastAsia="Malgun Gothic" w:cs="Times New Roman"/>
          <w:lang w:eastAsia="ko-KR"/>
        </w:rPr>
      </w:pPr>
      <w:r>
        <w:rPr>
          <w:rFonts w:eastAsia="Malgun Gothic" w:cs="Times New Roman"/>
          <w:lang w:eastAsia="ko-KR"/>
        </w:rPr>
        <w:t>The Commission recommends that DCMs consider whether crediting programs “can demonstrate that the quantification methodology or protocol that [they] use[] to calculate emissions reductions or removals for the underlying VCCs is robust, conservative, and transparent.”</w:t>
      </w:r>
      <w:r>
        <w:rPr>
          <w:rStyle w:val="FootnoteReference"/>
          <w:rFonts w:eastAsia="Malgun Gothic" w:cs="Times New Roman"/>
          <w:lang w:eastAsia="ko-KR"/>
        </w:rPr>
        <w:footnoteReference w:id="42"/>
      </w:r>
      <w:r>
        <w:rPr>
          <w:rFonts w:eastAsia="Malgun Gothic" w:cs="Times New Roman"/>
          <w:lang w:eastAsia="ko-KR"/>
        </w:rPr>
        <w:t xml:space="preserve"> </w:t>
      </w:r>
      <w:r w:rsidR="007166D5" w:rsidRPr="001E7F6E">
        <w:rPr>
          <w:rFonts w:eastAsia="Malgun Gothic" w:cs="Times New Roman"/>
          <w:lang w:eastAsia="ko-KR"/>
        </w:rPr>
        <w:t xml:space="preserve">The Commission should </w:t>
      </w:r>
      <w:r w:rsidR="008402D5">
        <w:rPr>
          <w:rFonts w:eastAsia="Malgun Gothic" w:cs="Times New Roman"/>
          <w:lang w:eastAsia="ko-KR"/>
        </w:rPr>
        <w:t>clarify</w:t>
      </w:r>
      <w:r w:rsidR="007166D5" w:rsidRPr="001E7F6E">
        <w:rPr>
          <w:rFonts w:eastAsia="Malgun Gothic" w:cs="Times New Roman"/>
          <w:lang w:eastAsia="ko-KR"/>
        </w:rPr>
        <w:t xml:space="preserve"> what it means by a “conservative” methodology.</w:t>
      </w:r>
      <w:r w:rsidR="007166D5">
        <w:rPr>
          <w:rFonts w:eastAsia="Malgun Gothic" w:cs="Times New Roman"/>
          <w:lang w:eastAsia="ko-KR"/>
        </w:rPr>
        <w:t xml:space="preserve"> </w:t>
      </w:r>
    </w:p>
    <w:p w14:paraId="059BC1A8" w14:textId="6305F724" w:rsidR="007166D5" w:rsidRDefault="007166D5" w:rsidP="007166D5">
      <w:pPr>
        <w:spacing w:after="120" w:line="276" w:lineRule="auto"/>
        <w:rPr>
          <w:rFonts w:eastAsia="Malgun Gothic" w:cs="Times New Roman"/>
          <w:lang w:eastAsia="ko-KR"/>
        </w:rPr>
      </w:pPr>
      <w:r>
        <w:rPr>
          <w:rFonts w:eastAsia="Malgun Gothic" w:cs="Times New Roman"/>
          <w:lang w:eastAsia="ko-KR"/>
        </w:rPr>
        <w:t>The Guidance hints that the goals of a conservative methodology for quantification include “ensur[ing] that the number of VCCs that are issued for a project or activity accurately reflects the level of GHG emission reductions or removals</w:t>
      </w:r>
      <w:r w:rsidR="00BA7442">
        <w:rPr>
          <w:rFonts w:eastAsia="Malgun Gothic" w:cs="Times New Roman"/>
          <w:lang w:eastAsia="ko-KR"/>
        </w:rPr>
        <w:t>.”</w:t>
      </w:r>
      <w:r w:rsidR="001724A2">
        <w:rPr>
          <w:rStyle w:val="FootnoteReference"/>
          <w:rFonts w:eastAsia="Malgun Gothic" w:cs="Times New Roman"/>
          <w:lang w:eastAsia="ko-KR"/>
        </w:rPr>
        <w:footnoteReference w:id="43"/>
      </w:r>
      <w:r>
        <w:rPr>
          <w:rFonts w:eastAsia="Malgun Gothic" w:cs="Times New Roman"/>
          <w:lang w:eastAsia="ko-KR"/>
        </w:rPr>
        <w:t xml:space="preserve"> But </w:t>
      </w:r>
      <w:r w:rsidR="009A5582">
        <w:rPr>
          <w:rFonts w:eastAsia="Malgun Gothic" w:cs="Times New Roman"/>
          <w:lang w:eastAsia="ko-KR"/>
        </w:rPr>
        <w:t>the Guidance gives</w:t>
      </w:r>
      <w:r>
        <w:rPr>
          <w:rFonts w:eastAsia="Malgun Gothic" w:cs="Times New Roman"/>
          <w:lang w:eastAsia="ko-KR"/>
        </w:rPr>
        <w:t xml:space="preserve"> DCMs little guidance on how to identify a “conservative” methodology.</w:t>
      </w:r>
    </w:p>
    <w:p w14:paraId="436106B9" w14:textId="436AB033" w:rsidR="007166D5" w:rsidRPr="004F04E4" w:rsidRDefault="00DD0259" w:rsidP="007166D5">
      <w:pPr>
        <w:spacing w:after="120" w:line="276" w:lineRule="auto"/>
        <w:rPr>
          <w:rFonts w:eastAsia="Malgun Gothic"/>
        </w:rPr>
      </w:pPr>
      <w:r>
        <w:rPr>
          <w:rFonts w:eastAsia="Malgun Gothic" w:cs="Times New Roman"/>
          <w:lang w:eastAsia="ko-KR"/>
        </w:rPr>
        <w:t xml:space="preserve">An appropriately “conservative” methodology could vary over time to address the most pressing integrity issues as the </w:t>
      </w:r>
      <w:r w:rsidR="00E87098">
        <w:rPr>
          <w:rFonts w:eastAsia="Malgun Gothic" w:cs="Times New Roman"/>
          <w:lang w:eastAsia="ko-KR"/>
        </w:rPr>
        <w:t>voluntary carbon markets</w:t>
      </w:r>
      <w:r>
        <w:rPr>
          <w:rFonts w:eastAsia="Malgun Gothic" w:cs="Times New Roman"/>
          <w:lang w:eastAsia="ko-KR"/>
        </w:rPr>
        <w:t xml:space="preserve"> evolve. Given current challenges around additionality, permanence, and related </w:t>
      </w:r>
      <w:r w:rsidR="009120B8">
        <w:rPr>
          <w:rFonts w:eastAsia="Malgun Gothic" w:cs="Times New Roman"/>
          <w:lang w:eastAsia="ko-KR"/>
        </w:rPr>
        <w:t>issues</w:t>
      </w:r>
      <w:r>
        <w:rPr>
          <w:rFonts w:eastAsia="Malgun Gothic" w:cs="Times New Roman"/>
          <w:lang w:eastAsia="ko-KR"/>
        </w:rPr>
        <w:t xml:space="preserve">, </w:t>
      </w:r>
      <w:r w:rsidR="009120B8">
        <w:rPr>
          <w:rFonts w:eastAsia="Malgun Gothic" w:cs="Times New Roman"/>
          <w:lang w:eastAsia="ko-KR"/>
        </w:rPr>
        <w:t xml:space="preserve">at least for now </w:t>
      </w:r>
      <w:r>
        <w:rPr>
          <w:rFonts w:eastAsia="Malgun Gothic" w:cs="Times New Roman"/>
          <w:lang w:eastAsia="ko-KR"/>
        </w:rPr>
        <w:t>a “conservative” methodology may be one that addresses uncertainty. One approach that the Commission could consider highlighting as an element of a conservative methodology for quantification, and that is currently used in some other environmental credit markets, is an uncertainty ratio. After a project’s emissions reductions or removals are estimated as accurately as possible given the best available data and tools, the total number of VCCs awarded could be counted at, for example, 90% of the estimate to provide a buffer against uncertainty. As the accuracy of estimation techniques and other integrity checks improve over time, such ratios could be adjusted or eliminated. But in the near</w:t>
      </w:r>
      <w:r w:rsidR="002503AC">
        <w:rPr>
          <w:rFonts w:eastAsia="Malgun Gothic" w:cs="Times New Roman"/>
          <w:lang w:eastAsia="ko-KR"/>
        </w:rPr>
        <w:t xml:space="preserve"> </w:t>
      </w:r>
      <w:r>
        <w:rPr>
          <w:rFonts w:eastAsia="Malgun Gothic" w:cs="Times New Roman"/>
          <w:lang w:eastAsia="ko-KR"/>
        </w:rPr>
        <w:t>term</w:t>
      </w:r>
      <w:r w:rsidR="00B115A1">
        <w:rPr>
          <w:rFonts w:eastAsia="Malgun Gothic" w:cs="Times New Roman"/>
          <w:lang w:eastAsia="ko-KR"/>
        </w:rPr>
        <w:t>,</w:t>
      </w:r>
      <w:r>
        <w:rPr>
          <w:rFonts w:eastAsia="Malgun Gothic" w:cs="Times New Roman"/>
          <w:lang w:eastAsia="ko-KR"/>
        </w:rPr>
        <w:t xml:space="preserve"> such tools to address uncertainty should be considered as part of a “conservative” methodology</w:t>
      </w:r>
      <w:r w:rsidR="007166D5">
        <w:rPr>
          <w:rFonts w:eastAsia="Malgun Gothic" w:cs="Times New Roman"/>
          <w:lang w:eastAsia="ko-KR"/>
        </w:rPr>
        <w:t>.</w:t>
      </w:r>
    </w:p>
    <w:p w14:paraId="03326633" w14:textId="1129F7B7" w:rsidR="00F40A74" w:rsidRDefault="007166D5" w:rsidP="00F40A74">
      <w:pPr>
        <w:pStyle w:val="ListParagraph"/>
        <w:keepNext/>
        <w:numPr>
          <w:ilvl w:val="1"/>
          <w:numId w:val="1"/>
        </w:numPr>
        <w:spacing w:after="120"/>
        <w:rPr>
          <w:rFonts w:eastAsia="Malgun Gothic"/>
          <w:b/>
        </w:rPr>
      </w:pPr>
      <w:r>
        <w:rPr>
          <w:rFonts w:eastAsia="Malgun Gothic"/>
          <w:b/>
        </w:rPr>
        <w:t xml:space="preserve">The Commission should address issues around the risk of reversal, </w:t>
      </w:r>
      <w:r w:rsidR="008C18C1" w:rsidRPr="004A6270">
        <w:rPr>
          <w:rFonts w:eastAsia="Malgun Gothic"/>
          <w:b/>
        </w:rPr>
        <w:t xml:space="preserve">including how timing may affect the number of </w:t>
      </w:r>
      <w:r w:rsidR="002503AC">
        <w:rPr>
          <w:rFonts w:eastAsia="Malgun Gothic"/>
          <w:b/>
        </w:rPr>
        <w:t>VCCs</w:t>
      </w:r>
      <w:r w:rsidR="002503AC" w:rsidRPr="004A6270">
        <w:rPr>
          <w:rFonts w:eastAsia="Malgun Gothic"/>
          <w:b/>
        </w:rPr>
        <w:t xml:space="preserve"> </w:t>
      </w:r>
      <w:r w:rsidR="008C18C1" w:rsidRPr="004A6270">
        <w:rPr>
          <w:rFonts w:eastAsia="Malgun Gothic"/>
          <w:b/>
        </w:rPr>
        <w:t>needed to account for harm attributable to reversal</w:t>
      </w:r>
      <w:r>
        <w:rPr>
          <w:rFonts w:eastAsia="Malgun Gothic"/>
          <w:b/>
        </w:rPr>
        <w:t>.</w:t>
      </w:r>
    </w:p>
    <w:p w14:paraId="2E28E325" w14:textId="21D6DC57" w:rsidR="008F6233" w:rsidRDefault="00F40A74" w:rsidP="00F40A74">
      <w:pPr>
        <w:spacing w:after="120" w:line="276" w:lineRule="auto"/>
        <w:rPr>
          <w:rFonts w:eastAsia="Malgun Gothic" w:cs="Times New Roman"/>
          <w:lang w:eastAsia="ko-KR"/>
        </w:rPr>
      </w:pPr>
      <w:r w:rsidRPr="00F40A74">
        <w:rPr>
          <w:rFonts w:eastAsia="Malgun Gothic" w:cs="Times New Roman"/>
          <w:lang w:eastAsia="ko-KR"/>
        </w:rPr>
        <w:t xml:space="preserve">The Guidance states that “information regarding a crediting program’s measures for estimating, monitoring, and addressing the risk of reversal may constitute an economically significant </w:t>
      </w:r>
      <w:r w:rsidRPr="00F40A74">
        <w:rPr>
          <w:rFonts w:eastAsia="Malgun Gothic" w:cs="Times New Roman"/>
          <w:lang w:eastAsia="ko-KR"/>
        </w:rPr>
        <w:lastRenderedPageBreak/>
        <w:t>attribute of the underlying VCCs that should be described or defined in the terms and conditions of a VCC derivative contract.”</w:t>
      </w:r>
      <w:r>
        <w:rPr>
          <w:rStyle w:val="FootnoteReference"/>
          <w:rFonts w:eastAsia="Malgun Gothic" w:cs="Times New Roman"/>
          <w:lang w:eastAsia="ko-KR"/>
        </w:rPr>
        <w:footnoteReference w:id="44"/>
      </w:r>
      <w:r w:rsidR="00CE1989">
        <w:rPr>
          <w:rFonts w:eastAsia="Malgun Gothic" w:cs="Times New Roman"/>
          <w:lang w:eastAsia="ko-KR"/>
        </w:rPr>
        <w:t xml:space="preserve"> </w:t>
      </w:r>
      <w:r w:rsidR="00746E99">
        <w:rPr>
          <w:rFonts w:eastAsia="Malgun Gothic" w:cs="Times New Roman"/>
          <w:lang w:eastAsia="ko-KR"/>
        </w:rPr>
        <w:t>Regarding replacement of</w:t>
      </w:r>
      <w:r w:rsidRPr="00F40A74">
        <w:rPr>
          <w:rFonts w:eastAsia="Malgun Gothic" w:cs="Times New Roman"/>
          <w:lang w:eastAsia="ko-KR"/>
        </w:rPr>
        <w:t xml:space="preserve"> </w:t>
      </w:r>
      <w:r w:rsidR="00746E99">
        <w:rPr>
          <w:rFonts w:eastAsia="Malgun Gothic" w:cs="Times New Roman"/>
          <w:lang w:eastAsia="ko-KR"/>
        </w:rPr>
        <w:t>reversed</w:t>
      </w:r>
      <w:r w:rsidR="00746E99" w:rsidRPr="00F40A74">
        <w:rPr>
          <w:rFonts w:eastAsia="Malgun Gothic" w:cs="Times New Roman"/>
          <w:lang w:eastAsia="ko-KR"/>
        </w:rPr>
        <w:t xml:space="preserve"> </w:t>
      </w:r>
      <w:r w:rsidRPr="00F40A74">
        <w:rPr>
          <w:rFonts w:eastAsia="Malgun Gothic" w:cs="Times New Roman"/>
          <w:lang w:eastAsia="ko-KR"/>
        </w:rPr>
        <w:t>credits, the Guidance mentions that “</w:t>
      </w:r>
      <w:r w:rsidR="00746E99">
        <w:rPr>
          <w:rFonts w:eastAsia="Malgun Gothic" w:cs="Times New Roman"/>
          <w:lang w:eastAsia="ko-KR"/>
        </w:rPr>
        <w:t>[i]</w:t>
      </w:r>
      <w:r w:rsidRPr="00F40A74">
        <w:rPr>
          <w:rFonts w:eastAsia="Malgun Gothic" w:cs="Times New Roman"/>
          <w:lang w:eastAsia="ko-KR"/>
        </w:rPr>
        <w:t>f a reversal occurs, VCCs [may be] drawn upon from the buffer reserve to replace VCCs that are canceled, proportional to the size of the reversal.”</w:t>
      </w:r>
      <w:r>
        <w:rPr>
          <w:rStyle w:val="FootnoteReference"/>
          <w:rFonts w:eastAsia="Malgun Gothic" w:cs="Times New Roman"/>
          <w:lang w:eastAsia="ko-KR"/>
        </w:rPr>
        <w:footnoteReference w:id="45"/>
      </w:r>
      <w:r w:rsidRPr="00F40A74">
        <w:rPr>
          <w:rFonts w:eastAsia="Malgun Gothic" w:cs="Times New Roman"/>
          <w:lang w:eastAsia="ko-KR"/>
        </w:rPr>
        <w:t xml:space="preserve"> </w:t>
      </w:r>
    </w:p>
    <w:p w14:paraId="46C2A699" w14:textId="1226E3FA" w:rsidR="00F40A74" w:rsidRDefault="00F60AC6" w:rsidP="00F40A74">
      <w:pPr>
        <w:spacing w:after="120" w:line="276" w:lineRule="auto"/>
        <w:rPr>
          <w:rFonts w:eastAsia="Malgun Gothic" w:cs="Times New Roman"/>
          <w:lang w:eastAsia="ko-KR"/>
        </w:rPr>
      </w:pPr>
      <w:r>
        <w:rPr>
          <w:rFonts w:eastAsia="Malgun Gothic" w:cs="Times New Roman"/>
          <w:lang w:eastAsia="ko-KR"/>
        </w:rPr>
        <w:t xml:space="preserve">But the Guidance omits an important nuance: </w:t>
      </w:r>
      <w:r w:rsidR="0073496C">
        <w:rPr>
          <w:rFonts w:eastAsia="Malgun Gothic" w:cs="Times New Roman"/>
          <w:lang w:eastAsia="ko-KR"/>
        </w:rPr>
        <w:t xml:space="preserve">Credits </w:t>
      </w:r>
      <w:r w:rsidR="00A826B9">
        <w:rPr>
          <w:rFonts w:eastAsia="Malgun Gothic" w:cs="Times New Roman"/>
          <w:lang w:eastAsia="ko-KR"/>
        </w:rPr>
        <w:t>should not</w:t>
      </w:r>
      <w:r w:rsidR="0073496C">
        <w:rPr>
          <w:rFonts w:eastAsia="Malgun Gothic" w:cs="Times New Roman"/>
          <w:lang w:eastAsia="ko-KR"/>
        </w:rPr>
        <w:t xml:space="preserve"> be mechanically replaced on a one-for-one basis</w:t>
      </w:r>
      <w:r w:rsidR="00911F78">
        <w:rPr>
          <w:rFonts w:eastAsia="Malgun Gothic" w:cs="Times New Roman"/>
          <w:lang w:eastAsia="ko-KR"/>
        </w:rPr>
        <w:t>;</w:t>
      </w:r>
      <w:r w:rsidR="0073496C">
        <w:rPr>
          <w:rFonts w:eastAsia="Malgun Gothic" w:cs="Times New Roman"/>
          <w:lang w:eastAsia="ko-KR"/>
        </w:rPr>
        <w:t xml:space="preserve"> </w:t>
      </w:r>
      <w:r w:rsidR="00A826B9">
        <w:rPr>
          <w:rFonts w:eastAsia="Malgun Gothic" w:cs="Times New Roman"/>
          <w:lang w:eastAsia="ko-KR"/>
        </w:rPr>
        <w:t>required replacements should</w:t>
      </w:r>
      <w:r w:rsidR="00911F78">
        <w:rPr>
          <w:rFonts w:eastAsia="Malgun Gothic" w:cs="Times New Roman"/>
          <w:lang w:eastAsia="ko-KR"/>
        </w:rPr>
        <w:t xml:space="preserve"> instead</w:t>
      </w:r>
      <w:r w:rsidR="0073496C">
        <w:rPr>
          <w:rFonts w:eastAsia="Malgun Gothic" w:cs="Times New Roman"/>
          <w:lang w:eastAsia="ko-KR"/>
        </w:rPr>
        <w:t xml:space="preserve"> be proportional to the harm attributable to the reversal.</w:t>
      </w:r>
      <w:r w:rsidR="00275A2B">
        <w:rPr>
          <w:rFonts w:eastAsia="Malgun Gothic" w:cs="Times New Roman"/>
          <w:lang w:eastAsia="ko-KR"/>
        </w:rPr>
        <w:t xml:space="preserve"> </w:t>
      </w:r>
      <w:r w:rsidR="00F40A74" w:rsidRPr="00F40A74">
        <w:rPr>
          <w:rFonts w:eastAsia="Malgun Gothic" w:cs="Times New Roman"/>
          <w:lang w:eastAsia="ko-KR"/>
        </w:rPr>
        <w:t xml:space="preserve">The social harm caused by the release of a marginal ton of </w:t>
      </w:r>
      <w:r w:rsidR="00DE3FCF">
        <w:rPr>
          <w:rFonts w:eastAsia="Malgun Gothic" w:cs="Times New Roman"/>
          <w:lang w:eastAsia="ko-KR"/>
        </w:rPr>
        <w:t>GHG</w:t>
      </w:r>
      <w:r w:rsidR="00F40A74" w:rsidRPr="00F40A74">
        <w:rPr>
          <w:rFonts w:eastAsia="Malgun Gothic" w:cs="Times New Roman"/>
          <w:lang w:eastAsia="ko-KR"/>
        </w:rPr>
        <w:t xml:space="preserve"> emissions varies based on </w:t>
      </w:r>
      <w:r w:rsidR="00DE3FCF">
        <w:rPr>
          <w:rFonts w:eastAsia="Malgun Gothic" w:cs="Times New Roman"/>
          <w:lang w:eastAsia="ko-KR"/>
        </w:rPr>
        <w:t xml:space="preserve">several factors, including </w:t>
      </w:r>
      <w:r w:rsidR="00F40A74" w:rsidRPr="00F40A74">
        <w:rPr>
          <w:rFonts w:eastAsia="Malgun Gothic" w:cs="Times New Roman"/>
          <w:lang w:eastAsia="ko-KR"/>
        </w:rPr>
        <w:t xml:space="preserve">the year of </w:t>
      </w:r>
      <w:r w:rsidR="008F6233">
        <w:rPr>
          <w:rFonts w:eastAsia="Malgun Gothic" w:cs="Times New Roman"/>
          <w:lang w:eastAsia="ko-KR"/>
        </w:rPr>
        <w:t xml:space="preserve">the </w:t>
      </w:r>
      <w:r w:rsidR="00F40A74" w:rsidRPr="00F40A74">
        <w:rPr>
          <w:rFonts w:eastAsia="Malgun Gothic" w:cs="Times New Roman"/>
          <w:lang w:eastAsia="ko-KR"/>
        </w:rPr>
        <w:t xml:space="preserve">emissions, </w:t>
      </w:r>
      <w:r w:rsidR="003254D8">
        <w:rPr>
          <w:rFonts w:eastAsia="Malgun Gothic" w:cs="Times New Roman"/>
          <w:lang w:eastAsia="ko-KR"/>
        </w:rPr>
        <w:t xml:space="preserve">the </w:t>
      </w:r>
      <w:r w:rsidR="00F40A74" w:rsidRPr="00F40A74">
        <w:rPr>
          <w:rFonts w:eastAsia="Malgun Gothic" w:cs="Times New Roman"/>
          <w:lang w:eastAsia="ko-KR"/>
        </w:rPr>
        <w:t xml:space="preserve">pollutant emitted, the stress climate change </w:t>
      </w:r>
      <w:r w:rsidR="003254D8">
        <w:rPr>
          <w:rFonts w:eastAsia="Malgun Gothic" w:cs="Times New Roman"/>
          <w:lang w:eastAsia="ko-KR"/>
        </w:rPr>
        <w:t>has</w:t>
      </w:r>
      <w:r w:rsidR="00A826B9">
        <w:rPr>
          <w:rFonts w:eastAsia="Malgun Gothic" w:cs="Times New Roman"/>
          <w:lang w:eastAsia="ko-KR"/>
        </w:rPr>
        <w:t xml:space="preserve"> already</w:t>
      </w:r>
      <w:r w:rsidR="003254D8">
        <w:rPr>
          <w:rFonts w:eastAsia="Malgun Gothic" w:cs="Times New Roman"/>
          <w:lang w:eastAsia="ko-KR"/>
        </w:rPr>
        <w:t xml:space="preserve"> imposed </w:t>
      </w:r>
      <w:r w:rsidR="00F40A74" w:rsidRPr="00F40A74">
        <w:rPr>
          <w:rFonts w:eastAsia="Malgun Gothic" w:cs="Times New Roman"/>
          <w:lang w:eastAsia="ko-KR"/>
        </w:rPr>
        <w:t xml:space="preserve">on physical and economic systems at a given point in time, </w:t>
      </w:r>
      <w:r w:rsidR="003254D8">
        <w:rPr>
          <w:rFonts w:eastAsia="Malgun Gothic" w:cs="Times New Roman"/>
          <w:lang w:eastAsia="ko-KR"/>
        </w:rPr>
        <w:t xml:space="preserve">and </w:t>
      </w:r>
      <w:r w:rsidR="00F40A74" w:rsidRPr="00F40A74">
        <w:rPr>
          <w:rFonts w:eastAsia="Malgun Gothic" w:cs="Times New Roman"/>
          <w:lang w:eastAsia="ko-KR"/>
        </w:rPr>
        <w:t>the appropriate discount rate (when comparing harms in terms of net present value).</w:t>
      </w:r>
      <w:r w:rsidR="00DD0259">
        <w:rPr>
          <w:rStyle w:val="FootnoteReference"/>
          <w:rFonts w:eastAsia="Malgun Gothic" w:cs="Times New Roman"/>
          <w:lang w:eastAsia="ko-KR"/>
        </w:rPr>
        <w:footnoteReference w:id="46"/>
      </w:r>
      <w:r w:rsidR="00F40A74" w:rsidRPr="00F40A74">
        <w:rPr>
          <w:rFonts w:eastAsia="Malgun Gothic" w:cs="Times New Roman"/>
          <w:lang w:eastAsia="ko-KR"/>
        </w:rPr>
        <w:t xml:space="preserve"> An emission </w:t>
      </w:r>
      <w:r w:rsidR="00747465">
        <w:rPr>
          <w:rFonts w:eastAsia="Malgun Gothic" w:cs="Times New Roman"/>
          <w:lang w:eastAsia="ko-KR"/>
        </w:rPr>
        <w:t>attributable to</w:t>
      </w:r>
      <w:r w:rsidR="00747465" w:rsidRPr="00F40A74">
        <w:rPr>
          <w:rFonts w:eastAsia="Malgun Gothic" w:cs="Times New Roman"/>
          <w:lang w:eastAsia="ko-KR"/>
        </w:rPr>
        <w:t xml:space="preserve"> </w:t>
      </w:r>
      <w:r w:rsidR="003254D8">
        <w:rPr>
          <w:rFonts w:eastAsia="Malgun Gothic" w:cs="Times New Roman"/>
          <w:lang w:eastAsia="ko-KR"/>
        </w:rPr>
        <w:t>a reversal event</w:t>
      </w:r>
      <w:r w:rsidR="00F40A74" w:rsidRPr="00F40A74">
        <w:rPr>
          <w:rFonts w:eastAsia="Malgun Gothic" w:cs="Times New Roman"/>
          <w:lang w:eastAsia="ko-KR"/>
        </w:rPr>
        <w:t xml:space="preserve"> may therefore cause a different amount of social harm than the original</w:t>
      </w:r>
      <w:r>
        <w:rPr>
          <w:rFonts w:eastAsia="Malgun Gothic" w:cs="Times New Roman"/>
          <w:lang w:eastAsia="ko-KR"/>
        </w:rPr>
        <w:t>, initially-offset</w:t>
      </w:r>
      <w:r w:rsidR="00F40A74" w:rsidRPr="00F40A74">
        <w:rPr>
          <w:rFonts w:eastAsia="Malgun Gothic" w:cs="Times New Roman"/>
          <w:lang w:eastAsia="ko-KR"/>
        </w:rPr>
        <w:t xml:space="preserve"> emissio</w:t>
      </w:r>
      <w:r>
        <w:rPr>
          <w:rFonts w:eastAsia="Malgun Gothic" w:cs="Times New Roman"/>
          <w:lang w:eastAsia="ko-KR"/>
        </w:rPr>
        <w:t>n</w:t>
      </w:r>
      <w:r w:rsidR="00F40A74" w:rsidRPr="00F40A74">
        <w:rPr>
          <w:rFonts w:eastAsia="Malgun Gothic" w:cs="Times New Roman"/>
          <w:lang w:eastAsia="ko-KR"/>
        </w:rPr>
        <w:t xml:space="preserve">. </w:t>
      </w:r>
      <w:r w:rsidR="00911F78">
        <w:rPr>
          <w:rFonts w:eastAsia="Malgun Gothic" w:cs="Times New Roman"/>
          <w:lang w:eastAsia="ko-KR"/>
        </w:rPr>
        <w:t>T</w:t>
      </w:r>
      <w:r w:rsidR="00A826B9">
        <w:rPr>
          <w:rFonts w:eastAsia="Malgun Gothic" w:cs="Times New Roman"/>
          <w:lang w:eastAsia="ko-KR"/>
        </w:rPr>
        <w:t>o “address evolving climate risks that may heighten the risk of reversal,”</w:t>
      </w:r>
      <w:r w:rsidR="00A826B9">
        <w:rPr>
          <w:rStyle w:val="FootnoteReference"/>
          <w:rFonts w:eastAsia="Malgun Gothic" w:cs="Times New Roman"/>
          <w:lang w:eastAsia="ko-KR"/>
        </w:rPr>
        <w:footnoteReference w:id="47"/>
      </w:r>
      <w:r w:rsidR="00A826B9">
        <w:rPr>
          <w:rFonts w:eastAsia="Malgun Gothic" w:cs="Times New Roman"/>
          <w:lang w:eastAsia="ko-KR"/>
        </w:rPr>
        <w:t xml:space="preserve"> procedures to respond to reversal events should focus on offsetting the </w:t>
      </w:r>
      <w:r w:rsidR="00A826B9" w:rsidRPr="00A826B9">
        <w:rPr>
          <w:rFonts w:eastAsia="Malgun Gothic" w:cs="Times New Roman"/>
          <w:i/>
          <w:lang w:eastAsia="ko-KR"/>
        </w:rPr>
        <w:t>harm</w:t>
      </w:r>
      <w:r w:rsidR="00A826B9">
        <w:rPr>
          <w:rFonts w:eastAsia="Malgun Gothic" w:cs="Times New Roman"/>
          <w:lang w:eastAsia="ko-KR"/>
        </w:rPr>
        <w:t xml:space="preserve"> </w:t>
      </w:r>
      <w:r w:rsidR="00625FF7">
        <w:rPr>
          <w:rFonts w:eastAsia="Malgun Gothic" w:cs="Times New Roman"/>
          <w:lang w:eastAsia="ko-KR"/>
        </w:rPr>
        <w:t>attributable to</w:t>
      </w:r>
      <w:r w:rsidR="00A826B9">
        <w:rPr>
          <w:rFonts w:eastAsia="Malgun Gothic" w:cs="Times New Roman"/>
          <w:lang w:eastAsia="ko-KR"/>
        </w:rPr>
        <w:t xml:space="preserve"> the emissions. </w:t>
      </w:r>
      <w:r w:rsidRPr="00F40A74">
        <w:rPr>
          <w:rFonts w:eastAsia="Malgun Gothic" w:cs="Times New Roman"/>
          <w:lang w:eastAsia="ko-KR"/>
        </w:rPr>
        <w:t xml:space="preserve">The Commission should </w:t>
      </w:r>
      <w:r w:rsidR="007172C0">
        <w:rPr>
          <w:rFonts w:eastAsia="Malgun Gothic" w:cs="Times New Roman"/>
          <w:lang w:eastAsia="ko-KR"/>
        </w:rPr>
        <w:t xml:space="preserve">thus </w:t>
      </w:r>
      <w:r w:rsidRPr="00F40A74">
        <w:rPr>
          <w:rFonts w:eastAsia="Malgun Gothic" w:cs="Times New Roman"/>
          <w:lang w:eastAsia="ko-KR"/>
        </w:rPr>
        <w:t>clarify that a replacement</w:t>
      </w:r>
      <w:r>
        <w:rPr>
          <w:rFonts w:eastAsia="Malgun Gothic" w:cs="Times New Roman"/>
          <w:lang w:eastAsia="ko-KR"/>
        </w:rPr>
        <w:t xml:space="preserve"> for reversed VCCs</w:t>
      </w:r>
      <w:r w:rsidRPr="00F40A74">
        <w:rPr>
          <w:rFonts w:eastAsia="Malgun Gothic" w:cs="Times New Roman"/>
          <w:lang w:eastAsia="ko-KR"/>
        </w:rPr>
        <w:t xml:space="preserve"> should </w:t>
      </w:r>
      <w:r w:rsidR="00747465">
        <w:rPr>
          <w:rFonts w:eastAsia="Malgun Gothic" w:cs="Times New Roman"/>
          <w:lang w:eastAsia="ko-KR"/>
        </w:rPr>
        <w:t>account for</w:t>
      </w:r>
      <w:r w:rsidRPr="00F40A74">
        <w:rPr>
          <w:rFonts w:eastAsia="Malgun Gothic" w:cs="Times New Roman"/>
          <w:lang w:eastAsia="ko-KR"/>
        </w:rPr>
        <w:t xml:space="preserve"> the harm </w:t>
      </w:r>
      <w:r w:rsidR="00747465">
        <w:rPr>
          <w:rFonts w:eastAsia="Malgun Gothic" w:cs="Times New Roman"/>
          <w:lang w:eastAsia="ko-KR"/>
        </w:rPr>
        <w:t>attributable to</w:t>
      </w:r>
      <w:r w:rsidRPr="00F40A74">
        <w:rPr>
          <w:rFonts w:eastAsia="Malgun Gothic" w:cs="Times New Roman"/>
          <w:lang w:eastAsia="ko-KR"/>
        </w:rPr>
        <w:t xml:space="preserve"> the reversal, not just mechanically replace credits on a one-for-one basis.</w:t>
      </w:r>
      <w:r w:rsidR="00D808B6" w:rsidRPr="00F40A74" w:rsidDel="003254D8">
        <w:rPr>
          <w:rFonts w:eastAsia="Malgun Gothic" w:cs="Times New Roman"/>
          <w:lang w:eastAsia="ko-KR"/>
        </w:rPr>
        <w:t xml:space="preserve"> </w:t>
      </w:r>
    </w:p>
    <w:p w14:paraId="31C3E2B6" w14:textId="6DF12667" w:rsidR="00A826B9" w:rsidRPr="00F40A74" w:rsidRDefault="00625FF7" w:rsidP="00F40A74">
      <w:pPr>
        <w:spacing w:after="120" w:line="276" w:lineRule="auto"/>
        <w:rPr>
          <w:rFonts w:eastAsia="Malgun Gothic" w:cs="Times New Roman"/>
          <w:lang w:eastAsia="ko-KR"/>
        </w:rPr>
      </w:pPr>
      <w:r>
        <w:rPr>
          <w:rFonts w:eastAsia="Malgun Gothic" w:cs="Times New Roman"/>
          <w:lang w:eastAsia="ko-KR"/>
        </w:rPr>
        <w:t>Relatedly, the Commission should clarify the meaning in this sentence in the Guidance’s background section: “Further, it can be difficult to discern the extent to which the price of any particular VCC reflects the price of one metric ton of carbon dioxide equivalent reduced or removed from the atmosphere, and the extent to which the price reflects understandings or concerns relating to the mitigation project or activity for which the VCC was issued, or other aspects of the process for issuing the VCC.”</w:t>
      </w:r>
      <w:r>
        <w:rPr>
          <w:rStyle w:val="FootnoteReference"/>
          <w:rFonts w:eastAsia="Malgun Gothic" w:cs="Times New Roman"/>
          <w:lang w:eastAsia="ko-KR"/>
        </w:rPr>
        <w:footnoteReference w:id="48"/>
      </w:r>
      <w:r>
        <w:rPr>
          <w:rFonts w:eastAsia="Malgun Gothic" w:cs="Times New Roman"/>
          <w:lang w:eastAsia="ko-KR"/>
        </w:rPr>
        <w:t xml:space="preserve"> The “price of one metric ton of carbon dioxide equivalent reduced or removed from the atmosphere” may be interpreted to refer to estimates of the social cost of GHGs. If by “price” the Commission instead meant the cost per ton reduced of implementing a project, the Commission should clarify that point. Similarly, the meaning of “understanding</w:t>
      </w:r>
      <w:r w:rsidR="007172C0">
        <w:rPr>
          <w:rFonts w:eastAsia="Malgun Gothic" w:cs="Times New Roman"/>
          <w:lang w:eastAsia="ko-KR"/>
        </w:rPr>
        <w:t>s</w:t>
      </w:r>
      <w:r>
        <w:rPr>
          <w:rFonts w:eastAsia="Malgun Gothic" w:cs="Times New Roman"/>
          <w:lang w:eastAsia="ko-KR"/>
        </w:rPr>
        <w:t xml:space="preserve"> or concerns relating to the mitigation</w:t>
      </w:r>
      <w:r w:rsidR="00C0783D">
        <w:rPr>
          <w:rFonts w:eastAsia="Malgun Gothic" w:cs="Times New Roman"/>
          <w:lang w:eastAsia="ko-KR"/>
        </w:rPr>
        <w:t xml:space="preserve"> project or activity</w:t>
      </w:r>
      <w:r>
        <w:rPr>
          <w:rFonts w:eastAsia="Malgun Gothic" w:cs="Times New Roman"/>
          <w:lang w:eastAsia="ko-KR"/>
        </w:rPr>
        <w:t xml:space="preserve">” is not clear. If the Commission intended to convey that the price </w:t>
      </w:r>
      <w:r w:rsidR="00C0783D">
        <w:rPr>
          <w:rFonts w:eastAsia="Malgun Gothic" w:cs="Times New Roman"/>
          <w:lang w:eastAsia="ko-KR"/>
        </w:rPr>
        <w:t xml:space="preserve">of a VCC </w:t>
      </w:r>
      <w:r>
        <w:rPr>
          <w:rFonts w:eastAsia="Malgun Gothic" w:cs="Times New Roman"/>
          <w:lang w:eastAsia="ko-KR"/>
        </w:rPr>
        <w:t xml:space="preserve">may reflect issues with </w:t>
      </w:r>
      <w:r w:rsidR="00C0783D">
        <w:rPr>
          <w:rFonts w:eastAsia="Malgun Gothic" w:cs="Times New Roman"/>
          <w:lang w:eastAsia="ko-KR"/>
        </w:rPr>
        <w:t xml:space="preserve">the </w:t>
      </w:r>
      <w:r>
        <w:rPr>
          <w:rFonts w:eastAsia="Malgun Gothic" w:cs="Times New Roman"/>
          <w:lang w:eastAsia="ko-KR"/>
        </w:rPr>
        <w:t>VCC</w:t>
      </w:r>
      <w:r w:rsidR="00C0783D">
        <w:rPr>
          <w:rFonts w:eastAsia="Malgun Gothic" w:cs="Times New Roman"/>
          <w:lang w:eastAsia="ko-KR"/>
        </w:rPr>
        <w:t>’s</w:t>
      </w:r>
      <w:r>
        <w:rPr>
          <w:rFonts w:eastAsia="Malgun Gothic" w:cs="Times New Roman"/>
          <w:lang w:eastAsia="ko-KR"/>
        </w:rPr>
        <w:t xml:space="preserve"> integrity (such as lack of additionality or risk of reversal), the Commission should clarify that point.</w:t>
      </w:r>
    </w:p>
    <w:p w14:paraId="4E1A6480" w14:textId="3C797360" w:rsidR="00871ADC" w:rsidRPr="00C93F29" w:rsidRDefault="00A53F90" w:rsidP="00AE0F40">
      <w:pPr>
        <w:pStyle w:val="ListParagraph"/>
        <w:keepNext/>
        <w:numPr>
          <w:ilvl w:val="1"/>
          <w:numId w:val="1"/>
        </w:numPr>
        <w:spacing w:after="120"/>
        <w:rPr>
          <w:rFonts w:eastAsia="Malgun Gothic"/>
          <w:b/>
        </w:rPr>
      </w:pPr>
      <w:r w:rsidRPr="00C93F29">
        <w:rPr>
          <w:rFonts w:eastAsia="Malgun Gothic"/>
          <w:b/>
        </w:rPr>
        <w:lastRenderedPageBreak/>
        <w:t>The C</w:t>
      </w:r>
      <w:r w:rsidR="00361DF7">
        <w:rPr>
          <w:rFonts w:eastAsia="Malgun Gothic"/>
          <w:b/>
        </w:rPr>
        <w:t>ommission</w:t>
      </w:r>
      <w:r w:rsidRPr="00C93F29">
        <w:rPr>
          <w:rFonts w:eastAsia="Malgun Gothic"/>
          <w:b/>
        </w:rPr>
        <w:t xml:space="preserve"> should remind </w:t>
      </w:r>
      <w:r w:rsidR="00381730">
        <w:rPr>
          <w:rFonts w:eastAsia="Malgun Gothic"/>
          <w:b/>
        </w:rPr>
        <w:t>DCMs</w:t>
      </w:r>
      <w:r w:rsidR="00C93F29" w:rsidRPr="00C93F29">
        <w:rPr>
          <w:rFonts w:eastAsia="Malgun Gothic"/>
          <w:b/>
        </w:rPr>
        <w:t xml:space="preserve"> of their discretion to implement more stringent </w:t>
      </w:r>
      <w:r w:rsidR="00F074E5">
        <w:rPr>
          <w:rFonts w:eastAsia="Malgun Gothic"/>
          <w:b/>
        </w:rPr>
        <w:t>quality standards</w:t>
      </w:r>
      <w:r w:rsidR="00F074E5" w:rsidRPr="00C93F29">
        <w:rPr>
          <w:rFonts w:eastAsia="Malgun Gothic"/>
          <w:b/>
        </w:rPr>
        <w:t xml:space="preserve"> </w:t>
      </w:r>
      <w:r w:rsidR="00C93F29" w:rsidRPr="00C93F29">
        <w:rPr>
          <w:rFonts w:eastAsia="Malgun Gothic"/>
          <w:b/>
        </w:rPr>
        <w:t>for VCC derivatives.</w:t>
      </w:r>
    </w:p>
    <w:p w14:paraId="4132FD9D" w14:textId="61C10659" w:rsidR="008C18C1" w:rsidRDefault="00381730" w:rsidP="002E4A00">
      <w:pPr>
        <w:spacing w:after="120" w:line="276" w:lineRule="auto"/>
        <w:rPr>
          <w:rFonts w:eastAsia="Malgun Gothic" w:cs="Times New Roman"/>
          <w:szCs w:val="20"/>
          <w:lang w:eastAsia="ko-KR"/>
        </w:rPr>
      </w:pPr>
      <w:r>
        <w:rPr>
          <w:rFonts w:eastAsia="Malgun Gothic" w:cs="Times New Roman"/>
          <w:szCs w:val="20"/>
          <w:lang w:eastAsia="ko-KR"/>
        </w:rPr>
        <w:t>As explained above, t</w:t>
      </w:r>
      <w:r w:rsidR="00F74D41">
        <w:rPr>
          <w:rFonts w:eastAsia="Malgun Gothic" w:cs="Times New Roman"/>
          <w:szCs w:val="20"/>
          <w:lang w:eastAsia="ko-KR"/>
        </w:rPr>
        <w:t>he Guidance recommends disclosure of information about VCC integrity in line with existing C</w:t>
      </w:r>
      <w:r w:rsidR="00361DF7">
        <w:rPr>
          <w:rFonts w:eastAsia="Malgun Gothic" w:cs="Times New Roman"/>
          <w:szCs w:val="20"/>
          <w:lang w:eastAsia="ko-KR"/>
        </w:rPr>
        <w:t>ommission</w:t>
      </w:r>
      <w:r w:rsidR="00F74D41">
        <w:rPr>
          <w:rFonts w:eastAsia="Malgun Gothic" w:cs="Times New Roman"/>
          <w:szCs w:val="20"/>
          <w:lang w:eastAsia="ko-KR"/>
        </w:rPr>
        <w:t xml:space="preserve"> guidance that interprets the </w:t>
      </w:r>
      <w:r>
        <w:rPr>
          <w:rFonts w:eastAsia="Malgun Gothic" w:cs="Times New Roman"/>
          <w:szCs w:val="20"/>
          <w:lang w:eastAsia="ko-KR"/>
        </w:rPr>
        <w:t>CEA’s</w:t>
      </w:r>
      <w:r w:rsidR="00F74D41">
        <w:rPr>
          <w:rFonts w:eastAsia="Malgun Gothic" w:cs="Times New Roman"/>
          <w:szCs w:val="20"/>
          <w:lang w:eastAsia="ko-KR"/>
        </w:rPr>
        <w:t xml:space="preserve"> Core Principles. But within the bounds set by the </w:t>
      </w:r>
      <w:r>
        <w:rPr>
          <w:rFonts w:eastAsia="Malgun Gothic" w:cs="Times New Roman"/>
          <w:szCs w:val="20"/>
          <w:lang w:eastAsia="ko-KR"/>
        </w:rPr>
        <w:t>CEA</w:t>
      </w:r>
      <w:r w:rsidR="00F74D41">
        <w:rPr>
          <w:rFonts w:eastAsia="Malgun Gothic" w:cs="Times New Roman"/>
          <w:szCs w:val="20"/>
          <w:lang w:eastAsia="ko-KR"/>
        </w:rPr>
        <w:t xml:space="preserve"> and CFTC regulations, </w:t>
      </w:r>
      <w:r w:rsidR="00E947F4">
        <w:rPr>
          <w:rFonts w:eastAsia="Malgun Gothic" w:cs="Times New Roman"/>
          <w:szCs w:val="20"/>
          <w:lang w:eastAsia="ko-KR"/>
        </w:rPr>
        <w:t xml:space="preserve">Section 7 of the CEA grants </w:t>
      </w:r>
      <w:r>
        <w:rPr>
          <w:rFonts w:eastAsia="Malgun Gothic" w:cs="Times New Roman"/>
          <w:szCs w:val="20"/>
          <w:lang w:eastAsia="ko-KR"/>
        </w:rPr>
        <w:t>DCMs</w:t>
      </w:r>
      <w:r w:rsidR="00F74D41">
        <w:rPr>
          <w:rFonts w:eastAsia="Malgun Gothic" w:cs="Times New Roman"/>
          <w:szCs w:val="20"/>
          <w:lang w:eastAsia="ko-KR"/>
        </w:rPr>
        <w:t xml:space="preserve"> “reasonable discretion” </w:t>
      </w:r>
      <w:r w:rsidR="00CD6D6C">
        <w:rPr>
          <w:rFonts w:eastAsia="Malgun Gothic" w:cs="Times New Roman"/>
          <w:szCs w:val="20"/>
          <w:lang w:eastAsia="ko-KR"/>
        </w:rPr>
        <w:t>to</w:t>
      </w:r>
      <w:r w:rsidR="00202DD4">
        <w:rPr>
          <w:rFonts w:eastAsia="Malgun Gothic" w:cs="Times New Roman"/>
          <w:szCs w:val="20"/>
          <w:lang w:eastAsia="ko-KR"/>
        </w:rPr>
        <w:t xml:space="preserve"> set additional requirements when listing VCC derivatives</w:t>
      </w:r>
      <w:r>
        <w:rPr>
          <w:rFonts w:eastAsia="Malgun Gothic" w:cs="Times New Roman"/>
          <w:szCs w:val="20"/>
          <w:lang w:eastAsia="ko-KR"/>
        </w:rPr>
        <w:t>,</w:t>
      </w:r>
      <w:r w:rsidR="00202DD4">
        <w:rPr>
          <w:rFonts w:eastAsia="Malgun Gothic" w:cs="Times New Roman"/>
          <w:szCs w:val="20"/>
          <w:lang w:eastAsia="ko-KR"/>
        </w:rPr>
        <w:t xml:space="preserve"> beyond any requirements the Commission has authority to require.</w:t>
      </w:r>
      <w:r w:rsidR="00CD6D6C">
        <w:rPr>
          <w:rStyle w:val="FootnoteReference"/>
          <w:rFonts w:eastAsia="Malgun Gothic" w:cs="Times New Roman"/>
          <w:szCs w:val="20"/>
          <w:lang w:eastAsia="ko-KR"/>
        </w:rPr>
        <w:footnoteReference w:id="49"/>
      </w:r>
      <w:r w:rsidR="00202DD4">
        <w:rPr>
          <w:rFonts w:eastAsia="Malgun Gothic" w:cs="Times New Roman"/>
          <w:szCs w:val="20"/>
          <w:lang w:eastAsia="ko-KR"/>
        </w:rPr>
        <w:t xml:space="preserve"> </w:t>
      </w:r>
      <w:r w:rsidR="005C630C">
        <w:rPr>
          <w:rFonts w:eastAsia="Malgun Gothic" w:cs="Times New Roman"/>
          <w:szCs w:val="20"/>
          <w:lang w:eastAsia="ko-KR"/>
        </w:rPr>
        <w:t xml:space="preserve">This </w:t>
      </w:r>
      <w:r w:rsidR="00ED32E0">
        <w:rPr>
          <w:rFonts w:eastAsia="Malgun Gothic" w:cs="Times New Roman"/>
          <w:szCs w:val="20"/>
          <w:lang w:eastAsia="ko-KR"/>
        </w:rPr>
        <w:t xml:space="preserve">discretion </w:t>
      </w:r>
      <w:r w:rsidR="005C630C">
        <w:rPr>
          <w:rFonts w:eastAsia="Malgun Gothic" w:cs="Times New Roman"/>
          <w:szCs w:val="20"/>
          <w:lang w:eastAsia="ko-KR"/>
        </w:rPr>
        <w:t>furthers the CEA’s goal of promoting innovation in derivatives markets.</w:t>
      </w:r>
      <w:r w:rsidR="005C630C">
        <w:rPr>
          <w:rStyle w:val="FootnoteReference"/>
          <w:rFonts w:eastAsia="Malgun Gothic" w:cs="Times New Roman"/>
          <w:szCs w:val="20"/>
          <w:lang w:eastAsia="ko-KR"/>
        </w:rPr>
        <w:footnoteReference w:id="50"/>
      </w:r>
      <w:r w:rsidR="005C630C">
        <w:rPr>
          <w:rFonts w:eastAsia="Malgun Gothic" w:cs="Times New Roman"/>
          <w:szCs w:val="20"/>
          <w:lang w:eastAsia="ko-KR"/>
        </w:rPr>
        <w:t xml:space="preserve"> </w:t>
      </w:r>
    </w:p>
    <w:p w14:paraId="6FB7AA95" w14:textId="3F981149" w:rsidR="00856DA3" w:rsidRDefault="007572CB" w:rsidP="002E4A00">
      <w:pPr>
        <w:spacing w:after="120" w:line="276" w:lineRule="auto"/>
        <w:rPr>
          <w:rFonts w:eastAsia="Malgun Gothic" w:cs="Times New Roman"/>
          <w:szCs w:val="20"/>
          <w:lang w:eastAsia="ko-KR"/>
        </w:rPr>
      </w:pPr>
      <w:r>
        <w:rPr>
          <w:rFonts w:eastAsia="Malgun Gothic" w:cs="Times New Roman"/>
          <w:szCs w:val="20"/>
          <w:lang w:eastAsia="ko-KR"/>
        </w:rPr>
        <w:t>DCMs have exercised th</w:t>
      </w:r>
      <w:r w:rsidR="00A150A7">
        <w:rPr>
          <w:rFonts w:eastAsia="Malgun Gothic" w:cs="Times New Roman"/>
          <w:szCs w:val="20"/>
          <w:lang w:eastAsia="ko-KR"/>
        </w:rPr>
        <w:t>eir</w:t>
      </w:r>
      <w:r>
        <w:rPr>
          <w:rFonts w:eastAsia="Malgun Gothic" w:cs="Times New Roman"/>
          <w:szCs w:val="20"/>
          <w:lang w:eastAsia="ko-KR"/>
        </w:rPr>
        <w:t xml:space="preserve"> discretion to set quality standards for the commodities that underlie listed derivatives.</w:t>
      </w:r>
      <w:r>
        <w:rPr>
          <w:rStyle w:val="FootnoteReference"/>
          <w:rFonts w:eastAsia="Malgun Gothic" w:cs="Times New Roman"/>
          <w:szCs w:val="20"/>
          <w:lang w:eastAsia="ko-KR"/>
        </w:rPr>
        <w:footnoteReference w:id="51"/>
      </w:r>
      <w:r>
        <w:rPr>
          <w:rFonts w:eastAsia="Malgun Gothic" w:cs="Times New Roman"/>
          <w:szCs w:val="20"/>
          <w:lang w:eastAsia="ko-KR"/>
        </w:rPr>
        <w:t xml:space="preserve"> Analogously, DCMs that list VCC derivatives</w:t>
      </w:r>
      <w:r w:rsidR="00CD6D6C">
        <w:rPr>
          <w:rFonts w:eastAsia="Malgun Gothic" w:cs="Times New Roman"/>
          <w:szCs w:val="20"/>
          <w:lang w:eastAsia="ko-KR"/>
        </w:rPr>
        <w:t xml:space="preserve"> c</w:t>
      </w:r>
      <w:r w:rsidR="00202DD4">
        <w:rPr>
          <w:rFonts w:eastAsia="Malgun Gothic" w:cs="Times New Roman"/>
          <w:szCs w:val="20"/>
          <w:lang w:eastAsia="ko-KR"/>
        </w:rPr>
        <w:t>ould</w:t>
      </w:r>
      <w:r w:rsidR="00CD6D6C">
        <w:rPr>
          <w:rFonts w:eastAsia="Malgun Gothic" w:cs="Times New Roman"/>
          <w:szCs w:val="20"/>
          <w:lang w:eastAsia="ko-KR"/>
        </w:rPr>
        <w:t xml:space="preserve"> go further than simp</w:t>
      </w:r>
      <w:r w:rsidR="00C93F29">
        <w:rPr>
          <w:rFonts w:eastAsia="Malgun Gothic" w:cs="Times New Roman"/>
          <w:szCs w:val="20"/>
          <w:lang w:eastAsia="ko-KR"/>
        </w:rPr>
        <w:t xml:space="preserve">ly </w:t>
      </w:r>
      <w:r w:rsidR="00202DD4">
        <w:rPr>
          <w:rFonts w:eastAsia="Malgun Gothic" w:cs="Times New Roman"/>
          <w:szCs w:val="20"/>
          <w:lang w:eastAsia="ko-KR"/>
        </w:rPr>
        <w:t xml:space="preserve">requiring </w:t>
      </w:r>
      <w:r w:rsidR="00C93F29">
        <w:rPr>
          <w:rFonts w:eastAsia="Malgun Gothic" w:cs="Times New Roman"/>
          <w:szCs w:val="20"/>
          <w:lang w:eastAsia="ko-KR"/>
        </w:rPr>
        <w:t>disclos</w:t>
      </w:r>
      <w:r w:rsidR="00202DD4">
        <w:rPr>
          <w:rFonts w:eastAsia="Malgun Gothic" w:cs="Times New Roman"/>
          <w:szCs w:val="20"/>
          <w:lang w:eastAsia="ko-KR"/>
        </w:rPr>
        <w:t>ure of</w:t>
      </w:r>
      <w:r w:rsidR="00C93F29">
        <w:rPr>
          <w:rFonts w:eastAsia="Malgun Gothic" w:cs="Times New Roman"/>
          <w:szCs w:val="20"/>
          <w:lang w:eastAsia="ko-KR"/>
        </w:rPr>
        <w:t xml:space="preserve"> the recommended</w:t>
      </w:r>
      <w:r w:rsidR="00CD6D6C">
        <w:rPr>
          <w:rFonts w:eastAsia="Malgun Gothic" w:cs="Times New Roman"/>
          <w:szCs w:val="20"/>
          <w:lang w:eastAsia="ko-KR"/>
        </w:rPr>
        <w:t xml:space="preserve"> information—they </w:t>
      </w:r>
      <w:r w:rsidR="00202DD4">
        <w:rPr>
          <w:rFonts w:eastAsia="Malgun Gothic" w:cs="Times New Roman"/>
          <w:szCs w:val="20"/>
          <w:lang w:eastAsia="ko-KR"/>
        </w:rPr>
        <w:t>could</w:t>
      </w:r>
      <w:r w:rsidR="008C6549">
        <w:rPr>
          <w:rFonts w:eastAsia="Malgun Gothic" w:cs="Times New Roman"/>
          <w:szCs w:val="20"/>
          <w:lang w:eastAsia="ko-KR"/>
        </w:rPr>
        <w:t xml:space="preserve"> require the VCC</w:t>
      </w:r>
      <w:r w:rsidR="007702EA">
        <w:rPr>
          <w:rFonts w:eastAsia="Malgun Gothic" w:cs="Times New Roman"/>
          <w:szCs w:val="20"/>
          <w:lang w:eastAsia="ko-KR"/>
        </w:rPr>
        <w:t>s underlying</w:t>
      </w:r>
      <w:r w:rsidR="008C6549">
        <w:rPr>
          <w:rFonts w:eastAsia="Malgun Gothic" w:cs="Times New Roman"/>
          <w:szCs w:val="20"/>
          <w:lang w:eastAsia="ko-KR"/>
        </w:rPr>
        <w:t xml:space="preserve"> derivative</w:t>
      </w:r>
      <w:r w:rsidR="00C93F29">
        <w:rPr>
          <w:rFonts w:eastAsia="Malgun Gothic" w:cs="Times New Roman"/>
          <w:szCs w:val="20"/>
          <w:lang w:eastAsia="ko-KR"/>
        </w:rPr>
        <w:t>s they list to possess</w:t>
      </w:r>
      <w:r w:rsidR="008C6549">
        <w:rPr>
          <w:rFonts w:eastAsia="Malgun Gothic" w:cs="Times New Roman"/>
          <w:szCs w:val="20"/>
          <w:lang w:eastAsia="ko-KR"/>
        </w:rPr>
        <w:t xml:space="preserve"> </w:t>
      </w:r>
      <w:r w:rsidR="00C4569E">
        <w:rPr>
          <w:rFonts w:eastAsia="Malgun Gothic" w:cs="Times New Roman"/>
          <w:szCs w:val="20"/>
          <w:lang w:eastAsia="ko-KR"/>
        </w:rPr>
        <w:t xml:space="preserve">certain </w:t>
      </w:r>
      <w:r w:rsidR="008C6549">
        <w:rPr>
          <w:rFonts w:eastAsia="Malgun Gothic" w:cs="Times New Roman"/>
          <w:szCs w:val="20"/>
          <w:lang w:eastAsia="ko-KR"/>
        </w:rPr>
        <w:t>characteristics of high-integrity VCCs that the Guidance identifies.</w:t>
      </w:r>
      <w:r w:rsidR="00F74D41">
        <w:rPr>
          <w:rFonts w:eastAsia="Malgun Gothic" w:cs="Times New Roman"/>
          <w:szCs w:val="20"/>
          <w:lang w:eastAsia="ko-KR"/>
        </w:rPr>
        <w:t xml:space="preserve"> The </w:t>
      </w:r>
      <w:r w:rsidR="004C7A45">
        <w:rPr>
          <w:rFonts w:eastAsia="Malgun Gothic" w:cs="Times New Roman"/>
          <w:szCs w:val="20"/>
          <w:lang w:eastAsia="ko-KR"/>
        </w:rPr>
        <w:t xml:space="preserve">Commission </w:t>
      </w:r>
      <w:r w:rsidR="00F74D41">
        <w:rPr>
          <w:rFonts w:eastAsia="Malgun Gothic" w:cs="Times New Roman"/>
          <w:szCs w:val="20"/>
          <w:lang w:eastAsia="ko-KR"/>
        </w:rPr>
        <w:t xml:space="preserve">should </w:t>
      </w:r>
      <w:r w:rsidR="004C7A45">
        <w:rPr>
          <w:rFonts w:eastAsia="Malgun Gothic" w:cs="Times New Roman"/>
          <w:szCs w:val="20"/>
          <w:lang w:eastAsia="ko-KR"/>
        </w:rPr>
        <w:t xml:space="preserve">consider reminding </w:t>
      </w:r>
      <w:r w:rsidR="00381730">
        <w:rPr>
          <w:rFonts w:eastAsia="Malgun Gothic" w:cs="Times New Roman"/>
          <w:szCs w:val="20"/>
          <w:lang w:eastAsia="ko-KR"/>
        </w:rPr>
        <w:t xml:space="preserve">DCMs </w:t>
      </w:r>
      <w:r w:rsidR="00F74D41">
        <w:rPr>
          <w:rFonts w:eastAsia="Malgun Gothic" w:cs="Times New Roman"/>
          <w:szCs w:val="20"/>
          <w:lang w:eastAsia="ko-KR"/>
        </w:rPr>
        <w:t>of their discretion to do so.</w:t>
      </w:r>
    </w:p>
    <w:p w14:paraId="45844E87" w14:textId="00852C74" w:rsidR="00A52544" w:rsidRPr="002A3BA9" w:rsidRDefault="00584740" w:rsidP="00C21BA7">
      <w:pPr>
        <w:pStyle w:val="ListParagraph"/>
        <w:keepNext/>
        <w:numPr>
          <w:ilvl w:val="0"/>
          <w:numId w:val="1"/>
        </w:numPr>
        <w:spacing w:after="120"/>
        <w:rPr>
          <w:b/>
          <w:bCs/>
        </w:rPr>
      </w:pPr>
      <w:r>
        <w:rPr>
          <w:b/>
          <w:bCs/>
        </w:rPr>
        <w:t>The</w:t>
      </w:r>
      <w:r w:rsidR="001931EA">
        <w:rPr>
          <w:b/>
          <w:bCs/>
        </w:rPr>
        <w:t xml:space="preserve"> C</w:t>
      </w:r>
      <w:r w:rsidR="00361DF7">
        <w:rPr>
          <w:b/>
          <w:bCs/>
        </w:rPr>
        <w:t>ommission</w:t>
      </w:r>
      <w:r w:rsidR="001931EA">
        <w:rPr>
          <w:b/>
          <w:bCs/>
        </w:rPr>
        <w:t xml:space="preserve"> should </w:t>
      </w:r>
      <w:r w:rsidR="004C240F">
        <w:rPr>
          <w:b/>
          <w:bCs/>
        </w:rPr>
        <w:t xml:space="preserve">explore </w:t>
      </w:r>
      <w:r w:rsidR="004C7A45">
        <w:rPr>
          <w:b/>
          <w:bCs/>
        </w:rPr>
        <w:t xml:space="preserve">whether </w:t>
      </w:r>
      <w:r w:rsidR="00E61EEE">
        <w:rPr>
          <w:b/>
          <w:bCs/>
        </w:rPr>
        <w:t>it</w:t>
      </w:r>
      <w:r w:rsidR="004C7A45">
        <w:rPr>
          <w:b/>
          <w:bCs/>
        </w:rPr>
        <w:t xml:space="preserve"> has </w:t>
      </w:r>
      <w:r w:rsidR="00CA2AF1">
        <w:rPr>
          <w:b/>
          <w:bCs/>
        </w:rPr>
        <w:t>other authorit</w:t>
      </w:r>
      <w:r w:rsidR="000D47FB">
        <w:rPr>
          <w:b/>
          <w:bCs/>
        </w:rPr>
        <w:t>y</w:t>
      </w:r>
      <w:r w:rsidR="00CA2AF1">
        <w:rPr>
          <w:b/>
          <w:bCs/>
        </w:rPr>
        <w:t xml:space="preserve"> to address issues with VCC integrity </w:t>
      </w:r>
      <w:r w:rsidR="0036279D">
        <w:rPr>
          <w:b/>
          <w:bCs/>
        </w:rPr>
        <w:t>and</w:t>
      </w:r>
      <w:r w:rsidR="00CA2AF1">
        <w:rPr>
          <w:b/>
          <w:bCs/>
        </w:rPr>
        <w:t xml:space="preserve"> whether t</w:t>
      </w:r>
      <w:r w:rsidR="002A3BA9" w:rsidRPr="002A3BA9">
        <w:rPr>
          <w:b/>
          <w:bCs/>
        </w:rPr>
        <w:t>o</w:t>
      </w:r>
      <w:r w:rsidR="000C7DCD" w:rsidRPr="002A3BA9">
        <w:rPr>
          <w:b/>
          <w:bCs/>
        </w:rPr>
        <w:t xml:space="preserve"> seek </w:t>
      </w:r>
      <w:r w:rsidR="00CA2AF1">
        <w:rPr>
          <w:b/>
          <w:bCs/>
        </w:rPr>
        <w:t>additional</w:t>
      </w:r>
      <w:r w:rsidR="000C7DCD" w:rsidRPr="002A3BA9">
        <w:rPr>
          <w:b/>
          <w:bCs/>
        </w:rPr>
        <w:t xml:space="preserve"> authority from Congress.</w:t>
      </w:r>
    </w:p>
    <w:p w14:paraId="3B6238DA" w14:textId="26F7BF34" w:rsidR="00FC50CA" w:rsidRDefault="001C2CBB" w:rsidP="0050794D">
      <w:pPr>
        <w:spacing w:after="120" w:line="276" w:lineRule="auto"/>
      </w:pPr>
      <w:r>
        <w:rPr>
          <w:rFonts w:eastAsia="Malgun Gothic" w:cs="Times New Roman"/>
          <w:szCs w:val="20"/>
          <w:lang w:eastAsia="ko-KR"/>
        </w:rPr>
        <w:t>B</w:t>
      </w:r>
      <w:r w:rsidR="002A3BA9">
        <w:rPr>
          <w:rFonts w:eastAsia="Malgun Gothic" w:cs="Times New Roman"/>
          <w:szCs w:val="20"/>
          <w:lang w:eastAsia="ko-KR"/>
        </w:rPr>
        <w:t xml:space="preserve">ecause the Guidance </w:t>
      </w:r>
      <w:r w:rsidR="004C0BAB">
        <w:rPr>
          <w:rFonts w:eastAsia="Malgun Gothic" w:cs="Times New Roman"/>
          <w:szCs w:val="20"/>
          <w:lang w:eastAsia="ko-KR"/>
        </w:rPr>
        <w:t>directly affects</w:t>
      </w:r>
      <w:r>
        <w:rPr>
          <w:rFonts w:eastAsia="Malgun Gothic" w:cs="Times New Roman"/>
          <w:szCs w:val="20"/>
          <w:lang w:eastAsia="ko-KR"/>
        </w:rPr>
        <w:t xml:space="preserve"> </w:t>
      </w:r>
      <w:r w:rsidR="007172C0">
        <w:rPr>
          <w:rFonts w:eastAsia="Malgun Gothic" w:cs="Times New Roman"/>
          <w:szCs w:val="20"/>
          <w:lang w:eastAsia="ko-KR"/>
        </w:rPr>
        <w:t xml:space="preserve">only </w:t>
      </w:r>
      <w:r>
        <w:rPr>
          <w:rFonts w:eastAsia="Malgun Gothic" w:cs="Times New Roman"/>
          <w:szCs w:val="20"/>
          <w:lang w:eastAsia="ko-KR"/>
        </w:rPr>
        <w:t xml:space="preserve">VCC derivatives listed on </w:t>
      </w:r>
      <w:r w:rsidR="00381730">
        <w:rPr>
          <w:rFonts w:eastAsia="Malgun Gothic" w:cs="Times New Roman"/>
          <w:szCs w:val="20"/>
          <w:lang w:eastAsia="ko-KR"/>
        </w:rPr>
        <w:t>DCMs</w:t>
      </w:r>
      <w:r w:rsidR="00FB47BB" w:rsidRPr="00FB47BB">
        <w:rPr>
          <w:rFonts w:eastAsia="Malgun Gothic" w:cs="Times New Roman"/>
          <w:szCs w:val="20"/>
          <w:lang w:eastAsia="ko-KR"/>
        </w:rPr>
        <w:t>,</w:t>
      </w:r>
      <w:r w:rsidR="00FB47BB">
        <w:rPr>
          <w:rFonts w:eastAsia="Malgun Gothic" w:cs="Times New Roman"/>
          <w:szCs w:val="20"/>
          <w:lang w:eastAsia="ko-KR"/>
        </w:rPr>
        <w:t xml:space="preserve"> </w:t>
      </w:r>
      <w:r w:rsidR="002A3BA9">
        <w:rPr>
          <w:rFonts w:eastAsia="Malgun Gothic" w:cs="Times New Roman"/>
          <w:szCs w:val="20"/>
          <w:lang w:eastAsia="ko-KR"/>
        </w:rPr>
        <w:t>its</w:t>
      </w:r>
      <w:r w:rsidR="00FB47BB" w:rsidRPr="009F250B">
        <w:rPr>
          <w:rFonts w:eastAsia="Malgun Gothic" w:cs="Times New Roman"/>
          <w:szCs w:val="20"/>
          <w:lang w:eastAsia="ko-KR"/>
        </w:rPr>
        <w:t xml:space="preserve"> impact </w:t>
      </w:r>
      <w:r w:rsidR="004C0BAB">
        <w:rPr>
          <w:rFonts w:eastAsia="Malgun Gothic" w:cs="Times New Roman"/>
          <w:szCs w:val="20"/>
          <w:lang w:eastAsia="ko-KR"/>
        </w:rPr>
        <w:t>may</w:t>
      </w:r>
      <w:r w:rsidR="00FB47BB" w:rsidRPr="009F250B">
        <w:rPr>
          <w:rFonts w:eastAsia="Malgun Gothic" w:cs="Times New Roman"/>
          <w:szCs w:val="20"/>
          <w:lang w:eastAsia="ko-KR"/>
        </w:rPr>
        <w:t xml:space="preserve"> be limited</w:t>
      </w:r>
      <w:r w:rsidR="004C0BAB">
        <w:rPr>
          <w:rFonts w:eastAsia="Malgun Gothic" w:cs="Times New Roman"/>
          <w:szCs w:val="20"/>
          <w:lang w:eastAsia="ko-KR"/>
        </w:rPr>
        <w:t>, at least for now</w:t>
      </w:r>
      <w:r w:rsidR="00FB47BB" w:rsidRPr="009F250B">
        <w:rPr>
          <w:rFonts w:eastAsia="Malgun Gothic" w:cs="Times New Roman"/>
          <w:szCs w:val="20"/>
          <w:lang w:eastAsia="ko-KR"/>
        </w:rPr>
        <w:t xml:space="preserve">. </w:t>
      </w:r>
      <w:r w:rsidR="005D2748" w:rsidRPr="009F250B">
        <w:rPr>
          <w:rFonts w:eastAsia="Malgun Gothic" w:cs="Times New Roman"/>
          <w:szCs w:val="20"/>
          <w:lang w:eastAsia="ko-KR"/>
        </w:rPr>
        <w:t>In the voluntary carbon market</w:t>
      </w:r>
      <w:r w:rsidR="0063134B">
        <w:rPr>
          <w:rFonts w:eastAsia="Malgun Gothic" w:cs="Times New Roman"/>
          <w:szCs w:val="20"/>
          <w:lang w:eastAsia="ko-KR"/>
        </w:rPr>
        <w:t>s</w:t>
      </w:r>
      <w:r w:rsidR="005D2748" w:rsidRPr="009F250B">
        <w:rPr>
          <w:rFonts w:eastAsia="Malgun Gothic" w:cs="Times New Roman"/>
          <w:szCs w:val="20"/>
          <w:lang w:eastAsia="ko-KR"/>
        </w:rPr>
        <w:t xml:space="preserve"> overall, t</w:t>
      </w:r>
      <w:r w:rsidR="00217467" w:rsidRPr="009F250B">
        <w:rPr>
          <w:rFonts w:eastAsia="Malgun Gothic" w:cs="Times New Roman"/>
          <w:szCs w:val="20"/>
          <w:lang w:eastAsia="ko-KR"/>
        </w:rPr>
        <w:t>he volume of issued VCCs amoun</w:t>
      </w:r>
      <w:r>
        <w:rPr>
          <w:rFonts w:eastAsia="Malgun Gothic" w:cs="Times New Roman"/>
          <w:szCs w:val="20"/>
          <w:lang w:eastAsia="ko-KR"/>
        </w:rPr>
        <w:t xml:space="preserve">ted to 181.1 million </w:t>
      </w:r>
      <w:r w:rsidR="0021784A">
        <w:rPr>
          <w:rFonts w:eastAsia="Malgun Gothic" w:cs="Times New Roman"/>
          <w:szCs w:val="20"/>
          <w:lang w:eastAsia="ko-KR"/>
        </w:rPr>
        <w:t xml:space="preserve">metric </w:t>
      </w:r>
      <w:r>
        <w:rPr>
          <w:rFonts w:eastAsia="Malgun Gothic" w:cs="Times New Roman"/>
          <w:szCs w:val="20"/>
          <w:lang w:eastAsia="ko-KR"/>
        </w:rPr>
        <w:t>tons of carbon-dioxide</w:t>
      </w:r>
      <w:r w:rsidR="00217467" w:rsidRPr="009F250B">
        <w:rPr>
          <w:rFonts w:eastAsia="Malgun Gothic" w:cs="Times New Roman"/>
          <w:szCs w:val="20"/>
          <w:lang w:eastAsia="ko-KR"/>
        </w:rPr>
        <w:t xml:space="preserve"> equivalent </w:t>
      </w:r>
      <w:r w:rsidR="00C21BA7">
        <w:rPr>
          <w:rFonts w:eastAsia="Malgun Gothic" w:cs="Times New Roman"/>
          <w:szCs w:val="20"/>
          <w:lang w:eastAsia="ko-KR"/>
        </w:rPr>
        <w:t xml:space="preserve">reduced or removed from the atmosphere </w:t>
      </w:r>
      <w:r w:rsidR="00217467" w:rsidRPr="009F250B">
        <w:rPr>
          <w:rFonts w:eastAsia="Malgun Gothic" w:cs="Times New Roman"/>
          <w:szCs w:val="20"/>
          <w:lang w:eastAsia="ko-KR"/>
        </w:rPr>
        <w:t>in 2020</w:t>
      </w:r>
      <w:r w:rsidR="005D2748" w:rsidRPr="009F250B">
        <w:rPr>
          <w:rFonts w:eastAsia="Malgun Gothic" w:cs="Times New Roman"/>
          <w:szCs w:val="20"/>
          <w:lang w:eastAsia="ko-KR"/>
        </w:rPr>
        <w:t>.</w:t>
      </w:r>
      <w:r w:rsidR="005D2748" w:rsidRPr="009F250B">
        <w:rPr>
          <w:rStyle w:val="FootnoteReference"/>
          <w:rFonts w:eastAsia="Malgun Gothic" w:cs="Times New Roman"/>
          <w:szCs w:val="20"/>
          <w:lang w:eastAsia="ko-KR"/>
        </w:rPr>
        <w:footnoteReference w:id="52"/>
      </w:r>
      <w:r w:rsidR="005D2748" w:rsidRPr="009F250B">
        <w:rPr>
          <w:rFonts w:eastAsia="Malgun Gothic" w:cs="Times New Roman"/>
          <w:szCs w:val="20"/>
          <w:lang w:eastAsia="ko-KR"/>
        </w:rPr>
        <w:t xml:space="preserve"> </w:t>
      </w:r>
      <w:r w:rsidR="005D2748" w:rsidRPr="009F250B">
        <w:t>According to one estimate, the entire market size could fall between $5 billion and $50 billion by 2030.</w:t>
      </w:r>
      <w:r w:rsidR="005D2748" w:rsidRPr="009F250B">
        <w:rPr>
          <w:rStyle w:val="FootnoteReference"/>
        </w:rPr>
        <w:footnoteReference w:id="53"/>
      </w:r>
      <w:r w:rsidR="002A3BA9">
        <w:t xml:space="preserve"> But</w:t>
      </w:r>
      <w:r w:rsidR="005D2748" w:rsidRPr="009F250B">
        <w:t xml:space="preserve"> </w:t>
      </w:r>
      <w:r w:rsidR="002A3BA9">
        <w:t xml:space="preserve">as the Guidance acknowledges, </w:t>
      </w:r>
      <w:r w:rsidR="005D2748" w:rsidRPr="009F250B">
        <w:t xml:space="preserve">VCC </w:t>
      </w:r>
      <w:r w:rsidR="005D2748" w:rsidRPr="00CF309A">
        <w:rPr>
          <w:i/>
        </w:rPr>
        <w:t>derivative</w:t>
      </w:r>
      <w:r w:rsidR="00045F6E">
        <w:rPr>
          <w:i/>
        </w:rPr>
        <w:t>s</w:t>
      </w:r>
      <w:r w:rsidR="005D2748" w:rsidRPr="009F250B">
        <w:t xml:space="preserve"> are a “new and evolving class of products</w:t>
      </w:r>
      <w:r w:rsidR="005D2748">
        <w:t xml:space="preserve">”: As of November 2023, </w:t>
      </w:r>
      <w:r w:rsidR="00381730">
        <w:t>DCMs</w:t>
      </w:r>
      <w:r w:rsidR="005D2748">
        <w:t xml:space="preserve"> had submitted</w:t>
      </w:r>
      <w:r w:rsidR="002A3BA9">
        <w:t xml:space="preserve"> </w:t>
      </w:r>
      <w:r w:rsidR="0065123C">
        <w:t xml:space="preserve">just </w:t>
      </w:r>
      <w:r w:rsidR="005D2748">
        <w:t xml:space="preserve">18 futures contracts related to voluntary carbon markets products to the CFTC for listing, </w:t>
      </w:r>
      <w:r w:rsidR="0065123C">
        <w:t xml:space="preserve">only </w:t>
      </w:r>
      <w:r w:rsidR="005D2748">
        <w:t>three of which had open interest.</w:t>
      </w:r>
      <w:r w:rsidR="005D2748">
        <w:rPr>
          <w:rStyle w:val="FootnoteReference"/>
        </w:rPr>
        <w:footnoteReference w:id="54"/>
      </w:r>
      <w:r w:rsidR="00640C38">
        <w:t xml:space="preserve"> </w:t>
      </w:r>
      <w:r w:rsidR="00E372E7">
        <w:t xml:space="preserve">And, consistent with prior Commission guidance, the present </w:t>
      </w:r>
      <w:r w:rsidR="00E372E7">
        <w:lastRenderedPageBreak/>
        <w:t xml:space="preserve">Guidance recommends </w:t>
      </w:r>
      <w:r w:rsidR="00951E56">
        <w:t xml:space="preserve">only </w:t>
      </w:r>
      <w:r w:rsidR="0063134B">
        <w:t>that DCMs require</w:t>
      </w:r>
      <w:r w:rsidR="00E372E7">
        <w:t xml:space="preserve"> </w:t>
      </w:r>
      <w:r w:rsidR="00E372E7" w:rsidRPr="00C21BA7">
        <w:rPr>
          <w:iCs/>
        </w:rPr>
        <w:t>disclosures about</w:t>
      </w:r>
      <w:r w:rsidR="00E372E7">
        <w:t xml:space="preserve"> VCC integrity, not</w:t>
      </w:r>
      <w:r w:rsidR="00C4569E">
        <w:t xml:space="preserve"> that DCMs require</w:t>
      </w:r>
      <w:r w:rsidR="00E372E7">
        <w:t xml:space="preserve"> VCC</w:t>
      </w:r>
      <w:r w:rsidR="00C4569E">
        <w:t xml:space="preserve"> derivatives to be tied to high</w:t>
      </w:r>
      <w:r w:rsidR="00951E56">
        <w:t>-</w:t>
      </w:r>
      <w:r w:rsidR="00E372E7">
        <w:t>integrity</w:t>
      </w:r>
      <w:r w:rsidR="00C4569E">
        <w:t xml:space="preserve"> VCCs</w:t>
      </w:r>
      <w:r w:rsidR="00E372E7">
        <w:t>.</w:t>
      </w:r>
      <w:r w:rsidR="00FC50CA">
        <w:t xml:space="preserve"> </w:t>
      </w:r>
    </w:p>
    <w:p w14:paraId="00817245" w14:textId="6B01C316" w:rsidR="0050794D" w:rsidRDefault="0050794D" w:rsidP="0050794D">
      <w:pPr>
        <w:spacing w:after="120" w:line="276" w:lineRule="auto"/>
      </w:pPr>
      <w:r>
        <w:t>Despite its limited scope, t</w:t>
      </w:r>
      <w:r w:rsidRPr="005368D1">
        <w:t>he Guidance might indirectly improve VCC integrity across the primary and secondary markets by identifying</w:t>
      </w:r>
      <w:r>
        <w:t xml:space="preserve"> </w:t>
      </w:r>
      <w:r w:rsidR="0063134B">
        <w:t xml:space="preserve">VCC </w:t>
      </w:r>
      <w:r>
        <w:t>characteristics</w:t>
      </w:r>
      <w:r w:rsidR="00C4569E">
        <w:t xml:space="preserve"> that</w:t>
      </w:r>
      <w:r>
        <w:t xml:space="preserve"> buyers should consider when assessing VCC integrity</w:t>
      </w:r>
      <w:r w:rsidRPr="005368D1">
        <w:t>.</w:t>
      </w:r>
      <w:r>
        <w:rPr>
          <w:rStyle w:val="FootnoteReference"/>
        </w:rPr>
        <w:footnoteReference w:id="55"/>
      </w:r>
      <w:r w:rsidRPr="005368D1">
        <w:t xml:space="preserve"> </w:t>
      </w:r>
      <w:r>
        <w:t xml:space="preserve">And, as noted, </w:t>
      </w:r>
      <w:r w:rsidR="00381730">
        <w:t>DCMs</w:t>
      </w:r>
      <w:r>
        <w:t xml:space="preserve"> could use their discretion to impose stricter requirements for VCC derivatives. </w:t>
      </w:r>
      <w:r w:rsidRPr="005368D1">
        <w:t xml:space="preserve">But broader and more direct regulation </w:t>
      </w:r>
      <w:r w:rsidR="0021793F">
        <w:t>may be</w:t>
      </w:r>
      <w:r w:rsidRPr="005368D1">
        <w:t xml:space="preserve"> necessary to </w:t>
      </w:r>
      <w:r>
        <w:t>improve the integrity of VCCs and the voluntary carbon market</w:t>
      </w:r>
      <w:r w:rsidR="0063134B">
        <w:t>s</w:t>
      </w:r>
      <w:r>
        <w:t xml:space="preserve"> overall.</w:t>
      </w:r>
      <w:r>
        <w:rPr>
          <w:rStyle w:val="FootnoteReference"/>
        </w:rPr>
        <w:footnoteReference w:id="56"/>
      </w:r>
    </w:p>
    <w:p w14:paraId="08D9A40C" w14:textId="4E54204B" w:rsidR="009E3B16" w:rsidRDefault="0021793F" w:rsidP="00CF309A">
      <w:pPr>
        <w:spacing w:after="120" w:line="276" w:lineRule="auto"/>
      </w:pPr>
      <w:r>
        <w:t>A</w:t>
      </w:r>
      <w:r w:rsidR="00E372E7">
        <w:t>s t</w:t>
      </w:r>
      <w:r w:rsidR="0050794D">
        <w:t>he Guid</w:t>
      </w:r>
      <w:r w:rsidR="00E372E7">
        <w:t xml:space="preserve">ance implicitly recognizes, </w:t>
      </w:r>
      <w:r>
        <w:t xml:space="preserve">however, </w:t>
      </w:r>
      <w:r w:rsidR="008474CD">
        <w:t>while the</w:t>
      </w:r>
      <w:r w:rsidR="0050794D">
        <w:t xml:space="preserve"> Commission has exclusive </w:t>
      </w:r>
      <w:r w:rsidR="00E87098">
        <w:t>jurisdiction</w:t>
      </w:r>
      <w:r w:rsidR="00E87098">
        <w:t xml:space="preserve"> </w:t>
      </w:r>
      <w:r w:rsidR="0050794D">
        <w:t xml:space="preserve">to </w:t>
      </w:r>
      <w:r w:rsidR="0063134B">
        <w:t>regulate VCC derivative</w:t>
      </w:r>
      <w:r w:rsidR="0050794D">
        <w:t xml:space="preserve">s listed on </w:t>
      </w:r>
      <w:r w:rsidR="008474CD">
        <w:t>DCMs</w:t>
      </w:r>
      <w:r w:rsidR="0050794D">
        <w:t xml:space="preserve">, </w:t>
      </w:r>
      <w:r w:rsidR="008474CD">
        <w:t xml:space="preserve">it has </w:t>
      </w:r>
      <w:r w:rsidR="0050794D">
        <w:t xml:space="preserve">more limited authority to regulate the much </w:t>
      </w:r>
      <w:r w:rsidR="0050794D" w:rsidRPr="005368D1">
        <w:t>larger primary</w:t>
      </w:r>
      <w:r w:rsidR="0050794D">
        <w:t xml:space="preserve"> and secondary markets for VCCs</w:t>
      </w:r>
      <w:r w:rsidR="00614CFB">
        <w:t>, which are</w:t>
      </w:r>
      <w:r w:rsidR="00614CFB" w:rsidRPr="005368D1">
        <w:t xml:space="preserve"> </w:t>
      </w:r>
      <w:r w:rsidR="00614CFB">
        <w:t xml:space="preserve">currently </w:t>
      </w:r>
      <w:r w:rsidR="00614CFB" w:rsidRPr="005368D1">
        <w:t xml:space="preserve">more </w:t>
      </w:r>
      <w:r w:rsidR="00614CFB">
        <w:t>in need of regulation to address market integrity concerns</w:t>
      </w:r>
      <w:r w:rsidR="0050794D">
        <w:rPr>
          <w:rFonts w:eastAsia="Malgun Gothic" w:cs="Times New Roman"/>
          <w:szCs w:val="20"/>
          <w:lang w:eastAsia="ko-KR"/>
        </w:rPr>
        <w:t>.</w:t>
      </w:r>
      <w:r w:rsidR="0050794D" w:rsidRPr="0055413C">
        <w:rPr>
          <w:rStyle w:val="FootnoteReference"/>
          <w:rFonts w:eastAsia="Malgun Gothic" w:cs="Times New Roman"/>
          <w:szCs w:val="20"/>
          <w:lang w:eastAsia="ko-KR"/>
        </w:rPr>
        <w:footnoteReference w:id="57"/>
      </w:r>
      <w:r w:rsidR="0050794D" w:rsidRPr="0055413C">
        <w:rPr>
          <w:rFonts w:eastAsia="Malgun Gothic" w:cs="Times New Roman"/>
          <w:szCs w:val="20"/>
          <w:lang w:eastAsia="ko-KR"/>
        </w:rPr>
        <w:t xml:space="preserve"> </w:t>
      </w:r>
      <w:r w:rsidR="00B0073D">
        <w:rPr>
          <w:rFonts w:eastAsia="Malgun Gothic" w:cs="Times New Roman"/>
          <w:szCs w:val="20"/>
          <w:lang w:eastAsia="ko-KR"/>
        </w:rPr>
        <w:t>A</w:t>
      </w:r>
      <w:r w:rsidR="0063134B">
        <w:rPr>
          <w:rFonts w:eastAsia="Malgun Gothic" w:cs="Times New Roman"/>
          <w:szCs w:val="20"/>
          <w:lang w:eastAsia="ko-KR"/>
        </w:rPr>
        <w:t>s early as the Working Group Report’s publication in 2011, t</w:t>
      </w:r>
      <w:r w:rsidR="00E372E7">
        <w:rPr>
          <w:rFonts w:eastAsia="Malgun Gothic" w:cs="Times New Roman"/>
          <w:szCs w:val="20"/>
          <w:lang w:eastAsia="ko-KR"/>
        </w:rPr>
        <w:t>he Commission and its peer regulators recognized these limitations</w:t>
      </w:r>
      <w:r w:rsidR="0063134B">
        <w:rPr>
          <w:rFonts w:eastAsia="Malgun Gothic" w:cs="Times New Roman"/>
          <w:szCs w:val="20"/>
          <w:lang w:eastAsia="ko-KR"/>
        </w:rPr>
        <w:t xml:space="preserve"> and recommended closing the </w:t>
      </w:r>
      <w:r w:rsidR="008B2DE3">
        <w:rPr>
          <w:rFonts w:eastAsia="Malgun Gothic" w:cs="Times New Roman"/>
          <w:szCs w:val="20"/>
          <w:lang w:eastAsia="ko-KR"/>
        </w:rPr>
        <w:t xml:space="preserve">regulatory </w:t>
      </w:r>
      <w:r w:rsidR="0063134B">
        <w:rPr>
          <w:rFonts w:eastAsia="Malgun Gothic" w:cs="Times New Roman"/>
          <w:szCs w:val="20"/>
          <w:lang w:eastAsia="ko-KR"/>
        </w:rPr>
        <w:t>gap</w:t>
      </w:r>
      <w:r w:rsidR="00E372E7">
        <w:rPr>
          <w:rFonts w:eastAsia="Malgun Gothic" w:cs="Times New Roman"/>
          <w:szCs w:val="20"/>
          <w:lang w:eastAsia="ko-KR"/>
        </w:rPr>
        <w:t>.</w:t>
      </w:r>
      <w:r w:rsidR="0063134B">
        <w:rPr>
          <w:rStyle w:val="FootnoteReference"/>
        </w:rPr>
        <w:footnoteReference w:id="58"/>
      </w:r>
      <w:r w:rsidR="00E372E7">
        <w:rPr>
          <w:rFonts w:eastAsia="Malgun Gothic" w:cs="Times New Roman"/>
          <w:szCs w:val="20"/>
          <w:lang w:eastAsia="ko-KR"/>
        </w:rPr>
        <w:t xml:space="preserve"> Regarding the primary market</w:t>
      </w:r>
      <w:r w:rsidR="0063134B">
        <w:rPr>
          <w:rFonts w:eastAsia="Malgun Gothic" w:cs="Times New Roman"/>
          <w:szCs w:val="20"/>
          <w:lang w:eastAsia="ko-KR"/>
        </w:rPr>
        <w:t>s</w:t>
      </w:r>
      <w:r w:rsidR="00E372E7">
        <w:rPr>
          <w:rFonts w:eastAsia="Malgun Gothic" w:cs="Times New Roman"/>
          <w:szCs w:val="20"/>
          <w:lang w:eastAsia="ko-KR"/>
        </w:rPr>
        <w:t xml:space="preserve"> for VCCs, the Working Group Report acknowledges a </w:t>
      </w:r>
      <w:r w:rsidR="00E372E7" w:rsidRPr="002356DE">
        <w:t xml:space="preserve">lack of </w:t>
      </w:r>
      <w:r w:rsidR="00E372E7">
        <w:t xml:space="preserve">current </w:t>
      </w:r>
      <w:r w:rsidR="00E372E7" w:rsidRPr="002356DE">
        <w:t>“regulation and oversight for the creation</w:t>
      </w:r>
      <w:r w:rsidR="00E372E7">
        <w:t xml:space="preserve"> and tracking</w:t>
      </w:r>
      <w:r w:rsidR="00E372E7" w:rsidRPr="002356DE">
        <w:t>” of VCCs (and other carbon offsets).</w:t>
      </w:r>
      <w:r w:rsidR="00E372E7" w:rsidRPr="002356DE">
        <w:rPr>
          <w:rStyle w:val="FootnoteReference"/>
        </w:rPr>
        <w:footnoteReference w:id="59"/>
      </w:r>
      <w:r w:rsidR="00E372E7" w:rsidRPr="002356DE">
        <w:t xml:space="preserve"> </w:t>
      </w:r>
      <w:r w:rsidR="00E372E7">
        <w:t>As for the</w:t>
      </w:r>
      <w:r w:rsidR="00E372E7" w:rsidRPr="002356DE">
        <w:t xml:space="preserve"> secondary</w:t>
      </w:r>
      <w:r w:rsidR="00E372E7">
        <w:t xml:space="preserve"> markets, the Working Group Report states, “</w:t>
      </w:r>
      <w:r w:rsidR="005415DF">
        <w:t>[n]</w:t>
      </w:r>
      <w:r w:rsidR="00E372E7">
        <w:t>o set of laws currently exist</w:t>
      </w:r>
      <w:r w:rsidR="00634FFB">
        <w:t>[s]</w:t>
      </w:r>
      <w:r w:rsidR="00E372E7">
        <w:t xml:space="preserve"> that appl</w:t>
      </w:r>
      <w:r w:rsidR="00634FFB">
        <w:t>[ies]</w:t>
      </w:r>
      <w:r w:rsidR="00E372E7">
        <w:t xml:space="preserve"> a comprehensive regulatory regime</w:t>
      </w:r>
      <w:r>
        <w:t>—</w:t>
      </w:r>
      <w:r w:rsidR="00E372E7">
        <w:t>such</w:t>
      </w:r>
      <w:r>
        <w:t xml:space="preserve"> </w:t>
      </w:r>
      <w:r w:rsidR="00E372E7">
        <w:t>as that which exists for derivatives</w:t>
      </w:r>
      <w:r>
        <w:t>—</w:t>
      </w:r>
      <w:r w:rsidR="00E372E7">
        <w:t>specifically</w:t>
      </w:r>
      <w:r>
        <w:t xml:space="preserve"> </w:t>
      </w:r>
      <w:r w:rsidR="00E372E7">
        <w:t>to secondary market trading of carbon allowances and offsets,” including VCCs.</w:t>
      </w:r>
      <w:r w:rsidR="00E372E7">
        <w:rPr>
          <w:rStyle w:val="FootnoteReference"/>
        </w:rPr>
        <w:footnoteReference w:id="60"/>
      </w:r>
      <w:r w:rsidR="00E372E7">
        <w:t xml:space="preserve"> </w:t>
      </w:r>
    </w:p>
    <w:p w14:paraId="059E5050" w14:textId="6D8724EB" w:rsidR="009E3B16" w:rsidRDefault="00AB19A1" w:rsidP="0050794D">
      <w:pPr>
        <w:spacing w:after="120" w:line="276" w:lineRule="auto"/>
      </w:pPr>
      <w:r>
        <w:t xml:space="preserve">In light of this regulatory gap, </w:t>
      </w:r>
      <w:r w:rsidR="008B2DE3">
        <w:t>the Commission should</w:t>
      </w:r>
      <w:r w:rsidR="0050794D">
        <w:t xml:space="preserve"> explore any other sources of existing authority to address the problems it has identified with VCC integrity.</w:t>
      </w:r>
      <w:r w:rsidR="0050794D" w:rsidRPr="0050794D">
        <w:t xml:space="preserve"> </w:t>
      </w:r>
      <w:r>
        <w:t xml:space="preserve">In particular, it should </w:t>
      </w:r>
      <w:r w:rsidR="00634FFB">
        <w:t>evaluate</w:t>
      </w:r>
      <w:r w:rsidR="00634FFB">
        <w:t xml:space="preserve"> </w:t>
      </w:r>
      <w:r>
        <w:t xml:space="preserve">the contours of its enforcement authority, which enables it to </w:t>
      </w:r>
      <w:r w:rsidR="0050794D" w:rsidRPr="0055413C">
        <w:rPr>
          <w:rFonts w:eastAsia="Malgun Gothic" w:cs="Times New Roman"/>
          <w:szCs w:val="20"/>
          <w:lang w:eastAsia="ko-KR"/>
        </w:rPr>
        <w:t xml:space="preserve">investigate and prosecute fraud and manipulation in </w:t>
      </w:r>
      <w:r w:rsidR="007D7281">
        <w:rPr>
          <w:rFonts w:eastAsia="Malgun Gothic" w:cs="Times New Roman"/>
          <w:szCs w:val="20"/>
          <w:lang w:eastAsia="ko-KR"/>
        </w:rPr>
        <w:t>the secondary markets.</w:t>
      </w:r>
      <w:r w:rsidR="0050794D" w:rsidRPr="0055413C">
        <w:rPr>
          <w:rStyle w:val="FootnoteReference"/>
          <w:rFonts w:eastAsia="Malgun Gothic" w:cs="Times New Roman"/>
          <w:szCs w:val="20"/>
          <w:lang w:eastAsia="ko-KR"/>
        </w:rPr>
        <w:footnoteReference w:id="61"/>
      </w:r>
      <w:r w:rsidR="0050794D">
        <w:rPr>
          <w:rFonts w:eastAsia="Malgun Gothic" w:cs="Times New Roman"/>
          <w:szCs w:val="20"/>
          <w:lang w:eastAsia="ko-KR"/>
        </w:rPr>
        <w:t xml:space="preserve"> As noted in the Guidance, the Commission</w:t>
      </w:r>
      <w:r w:rsidR="0063134B">
        <w:rPr>
          <w:rFonts w:eastAsia="Malgun Gothic" w:cs="Times New Roman"/>
          <w:szCs w:val="20"/>
          <w:lang w:eastAsia="ko-KR"/>
        </w:rPr>
        <w:t xml:space="preserve"> has used its enforcement</w:t>
      </w:r>
      <w:r w:rsidR="0050794D">
        <w:rPr>
          <w:rFonts w:eastAsia="Malgun Gothic" w:cs="Times New Roman"/>
          <w:szCs w:val="20"/>
          <w:lang w:eastAsia="ko-KR"/>
        </w:rPr>
        <w:t xml:space="preserve"> authority to establish an Environmental Fraud Task Force to address fraud and other misconduct in the voluntary carbon markets, </w:t>
      </w:r>
      <w:r w:rsidR="0063134B">
        <w:rPr>
          <w:rFonts w:eastAsia="Malgun Gothic" w:cs="Times New Roman"/>
          <w:szCs w:val="20"/>
          <w:lang w:eastAsia="ko-KR"/>
        </w:rPr>
        <w:t xml:space="preserve">including </w:t>
      </w:r>
      <w:r w:rsidR="00D76D7E">
        <w:rPr>
          <w:rFonts w:eastAsia="Malgun Gothic" w:cs="Times New Roman"/>
          <w:szCs w:val="20"/>
          <w:lang w:eastAsia="ko-KR"/>
        </w:rPr>
        <w:t>“</w:t>
      </w:r>
      <w:r w:rsidR="0050794D">
        <w:rPr>
          <w:rFonts w:eastAsia="Malgun Gothic" w:cs="Times New Roman"/>
          <w:szCs w:val="20"/>
          <w:lang w:eastAsia="ko-KR"/>
        </w:rPr>
        <w:t>fraud with respect to the purported environmental benefits of purchased carbon credits.</w:t>
      </w:r>
      <w:r w:rsidR="00D76D7E">
        <w:rPr>
          <w:rFonts w:eastAsia="Malgun Gothic" w:cs="Times New Roman"/>
          <w:szCs w:val="20"/>
          <w:lang w:eastAsia="ko-KR"/>
        </w:rPr>
        <w:t>”</w:t>
      </w:r>
      <w:r w:rsidR="0050794D">
        <w:rPr>
          <w:rStyle w:val="FootnoteReference"/>
          <w:rFonts w:eastAsia="Malgun Gothic" w:cs="Times New Roman"/>
          <w:szCs w:val="20"/>
          <w:lang w:eastAsia="ko-KR"/>
        </w:rPr>
        <w:footnoteReference w:id="62"/>
      </w:r>
      <w:r w:rsidR="0050794D">
        <w:rPr>
          <w:rFonts w:eastAsia="Malgun Gothic" w:cs="Times New Roman"/>
          <w:szCs w:val="20"/>
          <w:lang w:eastAsia="ko-KR"/>
        </w:rPr>
        <w:t xml:space="preserve"> </w:t>
      </w:r>
      <w:r w:rsidR="00A56193">
        <w:rPr>
          <w:rFonts w:eastAsia="Malgun Gothic" w:cs="Times New Roman"/>
          <w:szCs w:val="20"/>
          <w:lang w:eastAsia="ko-KR"/>
        </w:rPr>
        <w:t>The Commission should</w:t>
      </w:r>
      <w:r w:rsidR="0050794D">
        <w:rPr>
          <w:rFonts w:eastAsia="Malgun Gothic" w:cs="Times New Roman"/>
          <w:szCs w:val="20"/>
          <w:lang w:eastAsia="ko-KR"/>
        </w:rPr>
        <w:t xml:space="preserve"> explore other</w:t>
      </w:r>
      <w:r>
        <w:rPr>
          <w:rFonts w:eastAsia="Malgun Gothic" w:cs="Times New Roman"/>
          <w:szCs w:val="20"/>
          <w:lang w:eastAsia="ko-KR"/>
        </w:rPr>
        <w:t xml:space="preserve"> possible exercises of its enforcement </w:t>
      </w:r>
      <w:r w:rsidR="0021793F">
        <w:rPr>
          <w:rFonts w:eastAsia="Malgun Gothic" w:cs="Times New Roman"/>
          <w:szCs w:val="20"/>
          <w:lang w:eastAsia="ko-KR"/>
        </w:rPr>
        <w:t xml:space="preserve">or oversight </w:t>
      </w:r>
      <w:r>
        <w:rPr>
          <w:rFonts w:eastAsia="Malgun Gothic" w:cs="Times New Roman"/>
          <w:szCs w:val="20"/>
          <w:lang w:eastAsia="ko-KR"/>
        </w:rPr>
        <w:t>authority.</w:t>
      </w:r>
      <w:r w:rsidR="0050794D">
        <w:rPr>
          <w:rFonts w:eastAsia="Malgun Gothic" w:cs="Times New Roman"/>
          <w:szCs w:val="20"/>
          <w:lang w:eastAsia="ko-KR"/>
        </w:rPr>
        <w:t xml:space="preserve"> </w:t>
      </w:r>
    </w:p>
    <w:p w14:paraId="2157D766" w14:textId="4D2C74CC" w:rsidR="00AB19A1" w:rsidRDefault="0050794D" w:rsidP="0050794D">
      <w:pPr>
        <w:spacing w:after="120" w:line="276" w:lineRule="auto"/>
      </w:pPr>
      <w:r>
        <w:t xml:space="preserve">Likewise, </w:t>
      </w:r>
      <w:r w:rsidR="00F45B8F">
        <w:t xml:space="preserve">the Commission should work with </w:t>
      </w:r>
      <w:r>
        <w:t xml:space="preserve">peer regulators to </w:t>
      </w:r>
      <w:r w:rsidR="0021793F">
        <w:t xml:space="preserve">determine </w:t>
      </w:r>
      <w:r>
        <w:t xml:space="preserve">whether </w:t>
      </w:r>
      <w:r w:rsidR="00951E56">
        <w:t>they</w:t>
      </w:r>
      <w:r>
        <w:t xml:space="preserve"> might have authority over other aspects of the primary and secondary markets for VCCs.</w:t>
      </w:r>
      <w:r w:rsidR="00AB19A1">
        <w:t xml:space="preserve"> If peer </w:t>
      </w:r>
      <w:r w:rsidR="00AB19A1">
        <w:lastRenderedPageBreak/>
        <w:t>regulators’ existing authority does not bridge the regulatory gap, the Commission and its peers should collaborate to identify the best-positioned agency or agencies to regulate the primary and secondary markets.</w:t>
      </w:r>
      <w:r w:rsidR="009E3B16">
        <w:rPr>
          <w:rStyle w:val="FootnoteReference"/>
        </w:rPr>
        <w:footnoteReference w:id="63"/>
      </w:r>
      <w:r w:rsidR="00AB19A1" w:rsidRPr="00AB19A1">
        <w:t xml:space="preserve"> </w:t>
      </w:r>
      <w:r w:rsidR="009E3B16">
        <w:t xml:space="preserve">They should then seek </w:t>
      </w:r>
      <w:r w:rsidR="008474CD">
        <w:t xml:space="preserve">any </w:t>
      </w:r>
      <w:r w:rsidR="009E3B16">
        <w:t>additional authority they need from Congress to improve the integrity of VCCs and the voluntary carbon markets overall.</w:t>
      </w:r>
    </w:p>
    <w:p w14:paraId="62B6D26A" w14:textId="0EC73022" w:rsidR="004232F1" w:rsidRDefault="004232F1" w:rsidP="00CF309A">
      <w:pPr>
        <w:spacing w:after="120" w:line="276" w:lineRule="auto"/>
      </w:pPr>
    </w:p>
    <w:p w14:paraId="47E59554" w14:textId="1C53D419" w:rsidR="00F41F51" w:rsidRDefault="002825D7" w:rsidP="00CB6C63">
      <w:pPr>
        <w:spacing w:after="120" w:line="276" w:lineRule="auto"/>
      </w:pPr>
      <w:r>
        <w:t>Respectfully</w:t>
      </w:r>
      <w:r w:rsidR="00F41F51">
        <w:t>,</w:t>
      </w:r>
    </w:p>
    <w:p w14:paraId="231F808C" w14:textId="77777777" w:rsidR="002B0F02" w:rsidRDefault="002B0F02" w:rsidP="00F41F51"/>
    <w:p w14:paraId="76A88F91" w14:textId="67C60939" w:rsidR="002B0F02" w:rsidRDefault="002B0F02" w:rsidP="00F41F51">
      <w:r>
        <w:t>Donald L.</w:t>
      </w:r>
      <w:r w:rsidR="00C92294">
        <w:t xml:space="preserve"> </w:t>
      </w:r>
      <w:r>
        <w:t>R. Goodson, Senior Attorney</w:t>
      </w:r>
    </w:p>
    <w:p w14:paraId="44E78D84" w14:textId="74420A1A" w:rsidR="002B0F02" w:rsidRDefault="002B0F02" w:rsidP="00F41F51">
      <w:r>
        <w:t>Ja</w:t>
      </w:r>
      <w:r w:rsidR="00806B7B">
        <w:t>son A. Schwartz, Legal Director</w:t>
      </w:r>
    </w:p>
    <w:p w14:paraId="105CE0D0" w14:textId="1A66D568" w:rsidR="00C9114D" w:rsidRPr="00AA200C" w:rsidRDefault="002B0F02" w:rsidP="00AA200C">
      <w:r>
        <w:t>Erin E. Shortell, Legal Fellow</w:t>
      </w:r>
    </w:p>
    <w:sectPr w:rsidR="00C9114D" w:rsidRPr="00AA200C" w:rsidSect="001C1421">
      <w:footerReference w:type="default" r:id="rId8"/>
      <w:headerReference w:type="first" r:id="rId9"/>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F9AB96" w16cex:dateUtc="2024-02-14T10:19:00Z"/>
  <w16cex:commentExtensible w16cex:durableId="18B4DC3C" w16cex:dateUtc="2024-02-13T21:45:00Z"/>
  <w16cex:commentExtensible w16cex:durableId="792745AE" w16cex:dateUtc="2024-02-14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D9393" w16cid:durableId="26F9AB96"/>
  <w16cid:commentId w16cid:paraId="2E275AB3" w16cid:durableId="00FC50CA"/>
  <w16cid:commentId w16cid:paraId="760A6018" w16cid:durableId="62C25F78"/>
  <w16cid:commentId w16cid:paraId="2A565B0B" w16cid:durableId="18B4DC3C"/>
  <w16cid:commentId w16cid:paraId="304F4DFA" w16cid:durableId="792745AE"/>
  <w16cid:commentId w16cid:paraId="7D8220F8" w16cid:durableId="0B76AFF8"/>
  <w16cid:commentId w16cid:paraId="3AA5F03B" w16cid:durableId="01351D19"/>
  <w16cid:commentId w16cid:paraId="3F2F0956" w16cid:durableId="1C09FE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4667F" w14:textId="77777777" w:rsidR="002A6724" w:rsidRDefault="002A6724" w:rsidP="00C7173B">
      <w:r>
        <w:separator/>
      </w:r>
    </w:p>
  </w:endnote>
  <w:endnote w:type="continuationSeparator" w:id="0">
    <w:p w14:paraId="09545EDC" w14:textId="77777777" w:rsidR="002A6724" w:rsidRDefault="002A6724" w:rsidP="00C7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744976"/>
      <w:docPartObj>
        <w:docPartGallery w:val="Page Numbers (Bottom of Page)"/>
        <w:docPartUnique/>
      </w:docPartObj>
    </w:sdtPr>
    <w:sdtEndPr>
      <w:rPr>
        <w:rFonts w:cs="Times New Roman"/>
        <w:noProof/>
      </w:rPr>
    </w:sdtEndPr>
    <w:sdtContent>
      <w:p w14:paraId="12DC1A75" w14:textId="51265D89" w:rsidR="008C18C1" w:rsidRPr="00B6558A" w:rsidRDefault="008C18C1">
        <w:pPr>
          <w:pStyle w:val="Footer1"/>
          <w:jc w:val="center"/>
          <w:rPr>
            <w:rFonts w:cs="Times New Roman"/>
          </w:rPr>
        </w:pPr>
        <w:r w:rsidRPr="00B6558A">
          <w:rPr>
            <w:rFonts w:cs="Times New Roman"/>
          </w:rPr>
          <w:fldChar w:fldCharType="begin"/>
        </w:r>
        <w:r w:rsidRPr="00B6558A">
          <w:rPr>
            <w:rFonts w:cs="Times New Roman"/>
          </w:rPr>
          <w:instrText xml:space="preserve"> PAGE   \* MERGEFORMAT </w:instrText>
        </w:r>
        <w:r w:rsidRPr="00B6558A">
          <w:rPr>
            <w:rFonts w:cs="Times New Roman"/>
          </w:rPr>
          <w:fldChar w:fldCharType="separate"/>
        </w:r>
        <w:r w:rsidR="00F642EC">
          <w:rPr>
            <w:rFonts w:cs="Times New Roman"/>
            <w:noProof/>
          </w:rPr>
          <w:t>11</w:t>
        </w:r>
        <w:r w:rsidRPr="00B6558A">
          <w:rPr>
            <w:rFonts w:cs="Times New Roman"/>
            <w:noProof/>
          </w:rPr>
          <w:fldChar w:fldCharType="end"/>
        </w:r>
      </w:p>
    </w:sdtContent>
  </w:sdt>
  <w:p w14:paraId="20EFC582" w14:textId="77777777" w:rsidR="008C18C1" w:rsidRPr="00B6558A" w:rsidRDefault="008C18C1">
    <w:pPr>
      <w:pStyle w:val="Footer1"/>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0201A" w14:textId="77777777" w:rsidR="002A6724" w:rsidRDefault="002A6724" w:rsidP="00C7173B">
      <w:r>
        <w:separator/>
      </w:r>
    </w:p>
  </w:footnote>
  <w:footnote w:type="continuationSeparator" w:id="0">
    <w:p w14:paraId="4ED92B45" w14:textId="77777777" w:rsidR="002A6724" w:rsidRDefault="002A6724" w:rsidP="00C7173B">
      <w:r>
        <w:continuationSeparator/>
      </w:r>
    </w:p>
  </w:footnote>
  <w:footnote w:id="1">
    <w:p w14:paraId="68519522" w14:textId="77777777" w:rsidR="008C18C1" w:rsidRPr="00387EF1" w:rsidRDefault="008C18C1" w:rsidP="00C7173B">
      <w:pPr>
        <w:pStyle w:val="FootnoteText1"/>
        <w:rPr>
          <w:rFonts w:cs="Times New Roman"/>
        </w:rPr>
      </w:pPr>
      <w:r w:rsidRPr="00387EF1">
        <w:rPr>
          <w:rStyle w:val="FootnoteReference"/>
          <w:rFonts w:cs="Times New Roman"/>
        </w:rPr>
        <w:footnoteRef/>
      </w:r>
      <w:r w:rsidRPr="00387EF1">
        <w:rPr>
          <w:rFonts w:cs="Times New Roman"/>
        </w:rPr>
        <w:t xml:space="preserve"> This document does not purport to present the views, if any, of New York University School of Law.</w:t>
      </w:r>
    </w:p>
  </w:footnote>
  <w:footnote w:id="2">
    <w:p w14:paraId="6D1660B5" w14:textId="54DDFFA9" w:rsidR="007172C0" w:rsidRDefault="007172C0">
      <w:pPr>
        <w:pStyle w:val="FootnoteText"/>
      </w:pPr>
      <w:r>
        <w:rPr>
          <w:rStyle w:val="FootnoteReference"/>
        </w:rPr>
        <w:footnoteRef/>
      </w:r>
      <w:r>
        <w:t xml:space="preserve"> This document uses project(s) throughout to refer to both projects and activities. </w:t>
      </w:r>
    </w:p>
  </w:footnote>
  <w:footnote w:id="3">
    <w:p w14:paraId="63FA7E1C" w14:textId="090EFB8A" w:rsidR="00F64356" w:rsidRDefault="00F64356" w:rsidP="00F64356">
      <w:pPr>
        <w:pStyle w:val="FootnoteText"/>
      </w:pPr>
      <w:r>
        <w:rPr>
          <w:rStyle w:val="FootnoteReference"/>
        </w:rPr>
        <w:footnoteRef/>
      </w:r>
      <w:r>
        <w:t xml:space="preserve"> Carbon markets include both compliance markets and voluntary carbon markets. Compliance markets “are established and regulated by national, regional, or international governmental bodies”; by contrast, buyers and sellers in the voluntary carbon markets engage in these markets voluntarily. 88 Fed. Reg. 89,410, 89,412 (proposed Dec. 4, 2023) [hereinafter Guidance].</w:t>
      </w:r>
      <w:r w:rsidRPr="00000CFC">
        <w:rPr>
          <w:rFonts w:eastAsia="Malgun Gothic" w:cs="Times New Roman"/>
          <w:lang w:eastAsia="ko-KR"/>
        </w:rPr>
        <w:t xml:space="preserve"> </w:t>
      </w:r>
    </w:p>
  </w:footnote>
  <w:footnote w:id="4">
    <w:p w14:paraId="0CAA46CA" w14:textId="24347EAE" w:rsidR="008C18C1" w:rsidRDefault="008C18C1" w:rsidP="00000CFC">
      <w:pPr>
        <w:pStyle w:val="FootnoteText"/>
      </w:pPr>
      <w:r>
        <w:rPr>
          <w:rStyle w:val="FootnoteReference"/>
        </w:rPr>
        <w:footnoteRef/>
      </w:r>
      <w:r>
        <w:t xml:space="preserve"> The Guidance defines a VCC as a “tradeable intangible instrument that is issued by a carbon crediting program” as part of a voluntary carbon market. </w:t>
      </w:r>
      <w:r>
        <w:rPr>
          <w:rFonts w:eastAsia="Malgun Gothic" w:cs="Times New Roman"/>
          <w:lang w:eastAsia="ko-KR"/>
        </w:rPr>
        <w:t>One VCC typically represents an emissions reduction or removal equivalent to one metric ton of carbon dioxide.</w:t>
      </w:r>
      <w:r w:rsidRPr="00000CFC">
        <w:t xml:space="preserve"> </w:t>
      </w:r>
      <w:r w:rsidR="00F64356" w:rsidRPr="00F64356">
        <w:rPr>
          <w:i/>
        </w:rPr>
        <w:t>Id.</w:t>
      </w:r>
    </w:p>
  </w:footnote>
  <w:footnote w:id="5">
    <w:p w14:paraId="45E0BDB5" w14:textId="10738DA1" w:rsidR="008C18C1" w:rsidRDefault="008C18C1">
      <w:pPr>
        <w:pStyle w:val="FootnoteText"/>
      </w:pPr>
      <w:r>
        <w:rPr>
          <w:rStyle w:val="FootnoteReference"/>
        </w:rPr>
        <w:footnoteRef/>
      </w:r>
      <w:r>
        <w:t xml:space="preserve"> </w:t>
      </w:r>
      <w:r w:rsidR="00EC1E8B" w:rsidRPr="00EC1E8B">
        <w:rPr>
          <w:i/>
        </w:rPr>
        <w:t>Id.</w:t>
      </w:r>
      <w:r>
        <w:t xml:space="preserve"> The crediting program engages a third party to review the project and verify the accuracy of the crediting program’s estimate of the VCCs </w:t>
      </w:r>
      <w:r w:rsidR="00137D60">
        <w:t>the</w:t>
      </w:r>
      <w:r>
        <w:t xml:space="preserve"> project will generate. Once the crediting program certifies the VCCs, it typically adds them to </w:t>
      </w:r>
      <w:r w:rsidR="00137D60">
        <w:t xml:space="preserve">its </w:t>
      </w:r>
      <w:r>
        <w:t xml:space="preserve">registry. The crediting program uses the registry to track both VCCs and the projects associated with them. </w:t>
      </w:r>
      <w:r>
        <w:rPr>
          <w:rFonts w:eastAsia="Malgun Gothic" w:cs="Times New Roman"/>
          <w:lang w:eastAsia="ko-KR"/>
        </w:rPr>
        <w:t>After the crediting program issues the VCCs, market participants can purchase and trade them. Once a buyer uses a VCC to compensate for an equivalent GHG emission, the VCC is retired.</w:t>
      </w:r>
      <w:r w:rsidRPr="00000CFC">
        <w:t xml:space="preserve"> </w:t>
      </w:r>
      <w:r w:rsidR="00EC1E8B" w:rsidRPr="00EC1E8B">
        <w:rPr>
          <w:i/>
        </w:rPr>
        <w:t>Id.</w:t>
      </w:r>
      <w:r>
        <w:t xml:space="preserve"> at 89,413; Silvia Favasuli and Vandana Sebastian, </w:t>
      </w:r>
      <w:r w:rsidRPr="00303B31">
        <w:rPr>
          <w:i/>
        </w:rPr>
        <w:t>Voluntary carbon markets: how they work, how they’re priced and who’s involved</w:t>
      </w:r>
      <w:r>
        <w:t xml:space="preserve">, S&amp;P Global (June 10, 2021), </w:t>
      </w:r>
      <w:r w:rsidRPr="00303B31">
        <w:rPr>
          <w:rStyle w:val="Strong"/>
          <w:b w:val="0"/>
        </w:rPr>
        <w:t>https://perma.cc/EHY6-VW8L.</w:t>
      </w:r>
    </w:p>
  </w:footnote>
  <w:footnote w:id="6">
    <w:p w14:paraId="1D1F1E62" w14:textId="081A2427" w:rsidR="008C18C1" w:rsidRDefault="008C18C1">
      <w:pPr>
        <w:pStyle w:val="FootnoteText"/>
      </w:pPr>
      <w:r>
        <w:rPr>
          <w:rStyle w:val="FootnoteReference"/>
        </w:rPr>
        <w:footnoteRef/>
      </w:r>
      <w:r>
        <w:t xml:space="preserve"> Interagency Working Group for the Study on Oversight of Carbon Markets, </w:t>
      </w:r>
      <w:r w:rsidRPr="002F5C6B">
        <w:rPr>
          <w:i/>
        </w:rPr>
        <w:t xml:space="preserve">Report on the Oversight of Existing and Prospective Carbon Markets </w:t>
      </w:r>
      <w:r>
        <w:t xml:space="preserve">12–16 (Jan. 18, 2011). </w:t>
      </w:r>
      <w:r w:rsidRPr="00EC1E8B">
        <w:t>https://perma.cc/W9DN-PWGT</w:t>
      </w:r>
      <w:r>
        <w:t xml:space="preserve"> [hereinafter Working Group Report]. Other organizations have characterized these markets differently. For example, the International Swaps and Derivatives Association distinguishes between only primary markets (initial purchases of carbon credits) and secondary markets (“all subsequent trading,” including spot and derivatives contracts).</w:t>
      </w:r>
      <w:r w:rsidR="002F5C6B">
        <w:t xml:space="preserve"> </w:t>
      </w:r>
      <w:r w:rsidR="00F64356" w:rsidRPr="00F64356">
        <w:rPr>
          <w:i/>
        </w:rPr>
        <w:t>See</w:t>
      </w:r>
      <w:r w:rsidR="00F64356">
        <w:t xml:space="preserve"> </w:t>
      </w:r>
      <w:r w:rsidR="002F5C6B">
        <w:t xml:space="preserve">Int’l Swaps and Derivatives Ass’n, </w:t>
      </w:r>
      <w:r w:rsidR="002F5C6B" w:rsidRPr="002F5C6B">
        <w:rPr>
          <w:i/>
        </w:rPr>
        <w:t>Role of Derivatives in Carbon Markets</w:t>
      </w:r>
      <w:r w:rsidR="002F5C6B">
        <w:t xml:space="preserve"> 4 (Sept. 2021</w:t>
      </w:r>
      <w:r w:rsidR="002F5C6B" w:rsidRPr="002F5C6B">
        <w:t>)</w:t>
      </w:r>
      <w:r w:rsidR="00767179" w:rsidRPr="002F5C6B">
        <w:t>,</w:t>
      </w:r>
      <w:r w:rsidR="00767179">
        <w:t xml:space="preserve"> </w:t>
      </w:r>
      <w:r w:rsidR="00767179" w:rsidRPr="00EC1E8B">
        <w:t>https://perma.cc/QGL8-PBTP</w:t>
      </w:r>
      <w:r>
        <w:t xml:space="preserve">. </w:t>
      </w:r>
    </w:p>
  </w:footnote>
  <w:footnote w:id="7">
    <w:p w14:paraId="6957752F" w14:textId="64E6A53D" w:rsidR="008C18C1" w:rsidRDefault="008C18C1">
      <w:pPr>
        <w:pStyle w:val="FootnoteText"/>
      </w:pPr>
      <w:r>
        <w:rPr>
          <w:rStyle w:val="FootnoteReference"/>
        </w:rPr>
        <w:footnoteRef/>
      </w:r>
      <w:r>
        <w:t xml:space="preserve"> Working Group Report at 12.</w:t>
      </w:r>
    </w:p>
  </w:footnote>
  <w:footnote w:id="8">
    <w:p w14:paraId="21470818" w14:textId="53838644" w:rsidR="008C18C1" w:rsidRDefault="008C18C1">
      <w:pPr>
        <w:pStyle w:val="FootnoteText"/>
      </w:pPr>
      <w:r>
        <w:rPr>
          <w:rStyle w:val="FootnoteReference"/>
        </w:rPr>
        <w:footnoteRef/>
      </w:r>
      <w:r>
        <w:t xml:space="preserve"> </w:t>
      </w:r>
      <w:r w:rsidR="00EC1E8B" w:rsidRPr="00EC1E8B">
        <w:rPr>
          <w:i/>
        </w:rPr>
        <w:t>Id.</w:t>
      </w:r>
      <w:r>
        <w:t xml:space="preserve"> at 13, 42.</w:t>
      </w:r>
    </w:p>
  </w:footnote>
  <w:footnote w:id="9">
    <w:p w14:paraId="6D1380F6" w14:textId="2013E9AE" w:rsidR="008C18C1" w:rsidRDefault="008C18C1">
      <w:pPr>
        <w:pStyle w:val="FootnoteText"/>
      </w:pPr>
      <w:r>
        <w:rPr>
          <w:rStyle w:val="FootnoteReference"/>
        </w:rPr>
        <w:footnoteRef/>
      </w:r>
      <w:r>
        <w:t xml:space="preserve"> </w:t>
      </w:r>
      <w:r w:rsidR="00EC1E8B" w:rsidRPr="00EC1E8B">
        <w:rPr>
          <w:i/>
        </w:rPr>
        <w:t>Id.</w:t>
      </w:r>
      <w:r w:rsidR="00EC1E8B">
        <w:rPr>
          <w:i/>
        </w:rPr>
        <w:t xml:space="preserve"> </w:t>
      </w:r>
      <w:r>
        <w:t xml:space="preserve">at 14–15, 42. </w:t>
      </w:r>
    </w:p>
  </w:footnote>
  <w:footnote w:id="10">
    <w:p w14:paraId="6EC37CC6" w14:textId="02D84A32" w:rsidR="008C18C1" w:rsidRDefault="008C18C1">
      <w:pPr>
        <w:pStyle w:val="FootnoteText"/>
      </w:pPr>
      <w:r>
        <w:rPr>
          <w:rStyle w:val="FootnoteReference"/>
        </w:rPr>
        <w:footnoteRef/>
      </w:r>
      <w:r>
        <w:t xml:space="preserve"> </w:t>
      </w:r>
      <w:r w:rsidR="00EC1E8B" w:rsidRPr="00EC1E8B">
        <w:rPr>
          <w:i/>
        </w:rPr>
        <w:t>I</w:t>
      </w:r>
      <w:r w:rsidR="00EC1E8B">
        <w:rPr>
          <w:i/>
        </w:rPr>
        <w:t xml:space="preserve">d. </w:t>
      </w:r>
      <w:r w:rsidR="00503957">
        <w:t xml:space="preserve">at </w:t>
      </w:r>
      <w:r w:rsidR="00503957" w:rsidRPr="002F5C6B">
        <w:t xml:space="preserve">42; </w:t>
      </w:r>
      <w:r w:rsidR="00503957" w:rsidRPr="00503957">
        <w:rPr>
          <w:smallCaps/>
        </w:rPr>
        <w:t>Commodity Futures Trad. Comm’n</w:t>
      </w:r>
      <w:r w:rsidR="00503957">
        <w:t xml:space="preserve">, </w:t>
      </w:r>
      <w:r w:rsidR="00503957" w:rsidRPr="002F5C6B">
        <w:rPr>
          <w:i/>
        </w:rPr>
        <w:t>Futures Glossary</w:t>
      </w:r>
      <w:r w:rsidR="00503957">
        <w:t xml:space="preserve">, </w:t>
      </w:r>
      <w:r w:rsidR="00503957" w:rsidRPr="00EC1E8B">
        <w:t>https://perma.cc/QG5D-LD6R</w:t>
      </w:r>
      <w:r w:rsidR="00503957">
        <w:t xml:space="preserve">; Matthew F. Kluchenek, </w:t>
      </w:r>
      <w:r w:rsidR="00503957" w:rsidRPr="00503957">
        <w:rPr>
          <w:i/>
        </w:rPr>
        <w:t>The Status of Environmental Commodities under the Commodity Exchange Act</w:t>
      </w:r>
      <w:r w:rsidR="00503957">
        <w:t xml:space="preserve">, 5 </w:t>
      </w:r>
      <w:r w:rsidR="00503957" w:rsidRPr="00503957">
        <w:rPr>
          <w:smallCaps/>
        </w:rPr>
        <w:t xml:space="preserve">Harv. Bus. L. Rev. </w:t>
      </w:r>
      <w:r w:rsidR="00503957">
        <w:t xml:space="preserve">39, 40 n. 4 (2015), </w:t>
      </w:r>
      <w:r w:rsidR="00503957" w:rsidRPr="00EC1E8B">
        <w:t>https://perma.cc/ZJR6-MUEU</w:t>
      </w:r>
      <w:r w:rsidR="00503957">
        <w:rPr>
          <w:rStyle w:val="Strong"/>
        </w:rPr>
        <w:t xml:space="preserve"> </w:t>
      </w:r>
      <w:r w:rsidR="00503957">
        <w:t>(citing Dunn v. CFTC, 519 U.S. 465, 472 (1997)).</w:t>
      </w:r>
    </w:p>
  </w:footnote>
  <w:footnote w:id="11">
    <w:p w14:paraId="028A5762" w14:textId="09A8D990" w:rsidR="008C18C1" w:rsidRDefault="008C18C1">
      <w:pPr>
        <w:pStyle w:val="FootnoteText"/>
      </w:pPr>
      <w:r>
        <w:rPr>
          <w:rStyle w:val="FootnoteReference"/>
        </w:rPr>
        <w:footnoteRef/>
      </w:r>
      <w:r>
        <w:t xml:space="preserve"> </w:t>
      </w:r>
      <w:r w:rsidR="00503957">
        <w:t>Working Group Report</w:t>
      </w:r>
      <w:r>
        <w:t xml:space="preserve"> at 15.</w:t>
      </w:r>
    </w:p>
  </w:footnote>
  <w:footnote w:id="12">
    <w:p w14:paraId="60D60176" w14:textId="1DBD4C55" w:rsidR="008C18C1" w:rsidRDefault="008C18C1">
      <w:pPr>
        <w:pStyle w:val="FootnoteText"/>
      </w:pPr>
      <w:r>
        <w:rPr>
          <w:rStyle w:val="FootnoteReference"/>
        </w:rPr>
        <w:footnoteRef/>
      </w:r>
      <w:r>
        <w:t xml:space="preserve"> Guidance at 89,414.</w:t>
      </w:r>
    </w:p>
  </w:footnote>
  <w:footnote w:id="13">
    <w:p w14:paraId="2FE9A067" w14:textId="2DAF20B0" w:rsidR="008C18C1" w:rsidRDefault="008C18C1">
      <w:pPr>
        <w:pStyle w:val="FootnoteText"/>
      </w:pPr>
      <w:r>
        <w:rPr>
          <w:rStyle w:val="FootnoteReference"/>
        </w:rPr>
        <w:footnoteRef/>
      </w:r>
      <w:r>
        <w:t xml:space="preserve"> </w:t>
      </w:r>
      <w:r w:rsidR="00503957">
        <w:t>Working Group Report</w:t>
      </w:r>
      <w:r>
        <w:t xml:space="preserve"> at 16–17.</w:t>
      </w:r>
    </w:p>
  </w:footnote>
  <w:footnote w:id="14">
    <w:p w14:paraId="22C00943" w14:textId="6B12187B" w:rsidR="008C18C1" w:rsidRDefault="008C18C1" w:rsidP="006D6235">
      <w:pPr>
        <w:pStyle w:val="FootnoteText"/>
      </w:pPr>
      <w:r>
        <w:rPr>
          <w:rStyle w:val="FootnoteReference"/>
        </w:rPr>
        <w:footnoteRef/>
      </w:r>
      <w:r>
        <w:t xml:space="preserve"> Guidance at 89,410, 89,415.</w:t>
      </w:r>
    </w:p>
  </w:footnote>
  <w:footnote w:id="15">
    <w:p w14:paraId="0D71707F" w14:textId="4016C2EF" w:rsidR="008C18C1" w:rsidRDefault="008C18C1">
      <w:pPr>
        <w:pStyle w:val="FootnoteText"/>
      </w:pPr>
      <w:r>
        <w:rPr>
          <w:rStyle w:val="FootnoteReference"/>
        </w:rPr>
        <w:footnoteRef/>
      </w:r>
      <w:r>
        <w:t xml:space="preserve"> </w:t>
      </w:r>
      <w:r w:rsidR="00EC1E8B" w:rsidRPr="00EC1E8B">
        <w:rPr>
          <w:i/>
        </w:rPr>
        <w:t>Id.</w:t>
      </w:r>
      <w:r>
        <w:t xml:space="preserve"> at 89,415.</w:t>
      </w:r>
    </w:p>
  </w:footnote>
  <w:footnote w:id="16">
    <w:p w14:paraId="5B3E35C8" w14:textId="7A9C4954" w:rsidR="008C18C1" w:rsidRDefault="008C18C1">
      <w:pPr>
        <w:pStyle w:val="FootnoteText"/>
      </w:pPr>
      <w:r>
        <w:rPr>
          <w:rStyle w:val="FootnoteReference"/>
        </w:rPr>
        <w:footnoteRef/>
      </w:r>
      <w:r>
        <w:t xml:space="preserve"> </w:t>
      </w:r>
      <w:r w:rsidR="00EC1E8B" w:rsidRPr="00EC1E8B">
        <w:rPr>
          <w:i/>
        </w:rPr>
        <w:t>Id.</w:t>
      </w:r>
      <w:r>
        <w:t xml:space="preserve"> at </w:t>
      </w:r>
      <w:r w:rsidR="004A51F6">
        <w:t>89,417.</w:t>
      </w:r>
    </w:p>
  </w:footnote>
  <w:footnote w:id="17">
    <w:p w14:paraId="43B698A7" w14:textId="0EA3AFC1" w:rsidR="008C18C1" w:rsidRDefault="008C18C1">
      <w:pPr>
        <w:pStyle w:val="FootnoteText"/>
      </w:pPr>
      <w:r>
        <w:rPr>
          <w:rStyle w:val="FootnoteReference"/>
        </w:rPr>
        <w:footnoteRef/>
      </w:r>
      <w:r w:rsidR="00EC1E8B" w:rsidRPr="00EC1E8B">
        <w:rPr>
          <w:i/>
        </w:rPr>
        <w:t>Id.</w:t>
      </w:r>
      <w:r w:rsidR="00EC1E8B">
        <w:rPr>
          <w:i/>
        </w:rPr>
        <w:t xml:space="preserve"> </w:t>
      </w:r>
      <w:r w:rsidR="00EC1E8B">
        <w:t>at</w:t>
      </w:r>
      <w:r>
        <w:t xml:space="preserve"> 89,413.</w:t>
      </w:r>
    </w:p>
  </w:footnote>
  <w:footnote w:id="18">
    <w:p w14:paraId="73755055" w14:textId="34F558B5" w:rsidR="008C18C1" w:rsidRDefault="008C18C1">
      <w:pPr>
        <w:pStyle w:val="FootnoteText"/>
      </w:pPr>
      <w:r>
        <w:rPr>
          <w:rStyle w:val="FootnoteReference"/>
        </w:rPr>
        <w:footnoteRef/>
      </w:r>
      <w:r>
        <w:t xml:space="preserve"> </w:t>
      </w:r>
      <w:r w:rsidRPr="003E0F50">
        <w:rPr>
          <w:i/>
        </w:rPr>
        <w:t>See</w:t>
      </w:r>
      <w:r>
        <w:t xml:space="preserve"> </w:t>
      </w:r>
      <w:r w:rsidR="003E0F50">
        <w:t xml:space="preserve">Int’l Swaps and Derivatives Ass’n, </w:t>
      </w:r>
      <w:r w:rsidR="00EC1E8B">
        <w:rPr>
          <w:i/>
        </w:rPr>
        <w:t>supra</w:t>
      </w:r>
      <w:r w:rsidR="00EC1E8B">
        <w:t>, n</w:t>
      </w:r>
      <w:r w:rsidR="00756C75">
        <w:t>ote</w:t>
      </w:r>
      <w:r w:rsidR="00EC1E8B">
        <w:t xml:space="preserve"> </w:t>
      </w:r>
      <w:r w:rsidR="00CC6D4F" w:rsidRPr="00985F83">
        <w:t>6</w:t>
      </w:r>
      <w:r w:rsidR="00EC1E8B" w:rsidRPr="00985F83">
        <w:t xml:space="preserve"> at 21.</w:t>
      </w:r>
    </w:p>
  </w:footnote>
  <w:footnote w:id="19">
    <w:p w14:paraId="615C5B21" w14:textId="0A346CF8" w:rsidR="008C18C1" w:rsidRDefault="008C18C1" w:rsidP="006F3787">
      <w:pPr>
        <w:pStyle w:val="FootnoteText"/>
      </w:pPr>
      <w:r>
        <w:rPr>
          <w:rStyle w:val="FootnoteReference"/>
        </w:rPr>
        <w:footnoteRef/>
      </w:r>
      <w:r>
        <w:t xml:space="preserve"> More specifically, the Guidance applies to physically-settled derivative contracts, though it suggests that the same recommendations would likely apply to cash-settled VCC derivatives as well. Guidance at 89,415–16.</w:t>
      </w:r>
    </w:p>
  </w:footnote>
  <w:footnote w:id="20">
    <w:p w14:paraId="4250A82A" w14:textId="1CE2446F" w:rsidR="008C18C1" w:rsidRDefault="008C18C1">
      <w:pPr>
        <w:pStyle w:val="FootnoteText"/>
      </w:pPr>
      <w:r>
        <w:rPr>
          <w:rStyle w:val="FootnoteReference"/>
        </w:rPr>
        <w:footnoteRef/>
      </w:r>
      <w:r>
        <w:t xml:space="preserve"> The Guidance defines “designated contract markets” as “CFTC-regulated exchanges that provide participants in the derivatives markets with the ability to execute or trade derivative contracts with one another.” </w:t>
      </w:r>
      <w:r w:rsidR="005F04DA" w:rsidRPr="00911F78">
        <w:rPr>
          <w:i/>
        </w:rPr>
        <w:t>Id.</w:t>
      </w:r>
      <w:r w:rsidR="005F04DA">
        <w:t xml:space="preserve"> </w:t>
      </w:r>
      <w:r>
        <w:t xml:space="preserve">at 89,410–11. Although the Guidance applies only to VCC derivatives listed on DCMs, the Commission suggested that “the proposed guidance also should be considered by any [swap execution facility] that may seek to permit trading in swap contracts that settle to the price of a VCC, or in physically-settled VCC swap contracts.” </w:t>
      </w:r>
      <w:r w:rsidR="005F04DA" w:rsidRPr="00911F78">
        <w:rPr>
          <w:i/>
        </w:rPr>
        <w:t>Id.</w:t>
      </w:r>
      <w:r w:rsidR="005F04DA">
        <w:t xml:space="preserve"> </w:t>
      </w:r>
      <w:r>
        <w:t>at 89,416.</w:t>
      </w:r>
    </w:p>
  </w:footnote>
  <w:footnote w:id="21">
    <w:p w14:paraId="45D7324C" w14:textId="2F682167" w:rsidR="008C18C1" w:rsidRDefault="008C18C1">
      <w:pPr>
        <w:pStyle w:val="FootnoteText"/>
      </w:pPr>
      <w:r>
        <w:rPr>
          <w:rStyle w:val="FootnoteReference"/>
        </w:rPr>
        <w:footnoteRef/>
      </w:r>
      <w:r>
        <w:t xml:space="preserve"> </w:t>
      </w:r>
      <w:r w:rsidR="005F04DA" w:rsidRPr="00C65E30">
        <w:rPr>
          <w:i/>
        </w:rPr>
        <w:t>Id.</w:t>
      </w:r>
      <w:r>
        <w:t xml:space="preserve"> at 89,414.</w:t>
      </w:r>
    </w:p>
  </w:footnote>
  <w:footnote w:id="22">
    <w:p w14:paraId="47558F4A" w14:textId="48D64668" w:rsidR="008C18C1" w:rsidRDefault="008C18C1">
      <w:pPr>
        <w:pStyle w:val="FootnoteText"/>
      </w:pPr>
      <w:r>
        <w:rPr>
          <w:rStyle w:val="FootnoteReference"/>
        </w:rPr>
        <w:footnoteRef/>
      </w:r>
      <w:r>
        <w:t xml:space="preserve"> </w:t>
      </w:r>
      <w:r w:rsidR="003E0F50">
        <w:t>Commodity Exchange Act, 7 U.S.C.A.</w:t>
      </w:r>
      <w:r>
        <w:t xml:space="preserve"> § 2(a)(1)(A).</w:t>
      </w:r>
      <w:r w:rsidRPr="00F27C78">
        <w:rPr>
          <w:rFonts w:eastAsia="Malgun Gothic" w:cs="Times New Roman"/>
          <w:lang w:eastAsia="ko-KR"/>
        </w:rPr>
        <w:t xml:space="preserve"> </w:t>
      </w:r>
      <w:r>
        <w:rPr>
          <w:rFonts w:eastAsia="Malgun Gothic" w:cs="Times New Roman"/>
          <w:lang w:eastAsia="ko-KR"/>
        </w:rPr>
        <w:t xml:space="preserve">The jurisdiction clause limits CFTC jurisdiction over futures to commodities-based futures (“contracts of sale of a commodity for future delivery”). </w:t>
      </w:r>
      <w:r w:rsidR="003E0F50">
        <w:t xml:space="preserve">7 U.S.C.A. </w:t>
      </w:r>
      <w:r>
        <w:t xml:space="preserve">§ 2(a)(1)(A). </w:t>
      </w:r>
      <w:r>
        <w:rPr>
          <w:rFonts w:eastAsia="Malgun Gothic" w:cs="Times New Roman"/>
          <w:lang w:eastAsia="ko-KR"/>
        </w:rPr>
        <w:t xml:space="preserve">The Guidance refers to VCCs as environmental commodities. </w:t>
      </w:r>
      <w:r w:rsidR="003E0F50" w:rsidRPr="003E0F50">
        <w:rPr>
          <w:rFonts w:eastAsia="Malgun Gothic" w:cs="Times New Roman"/>
          <w:i/>
          <w:lang w:eastAsia="ko-KR"/>
        </w:rPr>
        <w:t>See</w:t>
      </w:r>
      <w:r w:rsidR="003E0F50">
        <w:rPr>
          <w:rFonts w:eastAsia="Malgun Gothic" w:cs="Times New Roman"/>
          <w:lang w:eastAsia="ko-KR"/>
        </w:rPr>
        <w:t xml:space="preserve"> </w:t>
      </w:r>
      <w:r>
        <w:t xml:space="preserve">Guidance at </w:t>
      </w:r>
      <w:r w:rsidR="003E0F50">
        <w:t>89,412</w:t>
      </w:r>
      <w:r>
        <w:t>.</w:t>
      </w:r>
    </w:p>
  </w:footnote>
  <w:footnote w:id="23">
    <w:p w14:paraId="0A5C3C50" w14:textId="3972FCEA" w:rsidR="008C18C1" w:rsidRDefault="008C18C1">
      <w:pPr>
        <w:pStyle w:val="FootnoteText"/>
      </w:pPr>
      <w:r>
        <w:rPr>
          <w:rStyle w:val="FootnoteReference"/>
        </w:rPr>
        <w:footnoteRef/>
      </w:r>
      <w:r>
        <w:t xml:space="preserve"> </w:t>
      </w:r>
      <w:r w:rsidRPr="00A43D8B">
        <w:rPr>
          <w:i/>
        </w:rPr>
        <w:t>See</w:t>
      </w:r>
      <w:r>
        <w:t xml:space="preserve"> </w:t>
      </w:r>
      <w:r w:rsidR="00A43D8B">
        <w:t xml:space="preserve">7 U.S.C.A. </w:t>
      </w:r>
      <w:r>
        <w:t>§ 7(d)(1)(B).</w:t>
      </w:r>
    </w:p>
  </w:footnote>
  <w:footnote w:id="24">
    <w:p w14:paraId="3F3FABC1" w14:textId="0FC5009D" w:rsidR="008C18C1" w:rsidRPr="00E618F9" w:rsidRDefault="008C18C1">
      <w:pPr>
        <w:pStyle w:val="FootnoteText"/>
      </w:pPr>
      <w:r>
        <w:rPr>
          <w:rStyle w:val="FootnoteReference"/>
        </w:rPr>
        <w:footnoteRef/>
      </w:r>
      <w:r>
        <w:t xml:space="preserve"> </w:t>
      </w:r>
      <w:r w:rsidRPr="00A43D8B">
        <w:rPr>
          <w:i/>
        </w:rPr>
        <w:t>See</w:t>
      </w:r>
      <w:r>
        <w:t xml:space="preserve"> Guidance at 89,415. </w:t>
      </w:r>
      <w:r w:rsidRPr="007B270F">
        <w:t xml:space="preserve">The Guidance does not address how the forward exclusion </w:t>
      </w:r>
      <w:r>
        <w:t>might apply</w:t>
      </w:r>
      <w:r w:rsidRPr="007B270F">
        <w:t xml:space="preserve"> t</w:t>
      </w:r>
      <w:r>
        <w:t>o certain transactions that would</w:t>
      </w:r>
      <w:r w:rsidRPr="007B270F">
        <w:t xml:space="preserve"> otherwise fall within the Commission’s exclusive jurisdiction. </w:t>
      </w:r>
      <w:r w:rsidR="005F04DA" w:rsidRPr="00C65E30">
        <w:rPr>
          <w:i/>
        </w:rPr>
        <w:t>Id.</w:t>
      </w:r>
      <w:r w:rsidRPr="007B270F">
        <w:t xml:space="preserve"> at 89,416, n. 68</w:t>
      </w:r>
      <w:r>
        <w:t>;</w:t>
      </w:r>
      <w:r w:rsidRPr="007B270F">
        <w:t xml:space="preserve"> </w:t>
      </w:r>
      <w:r w:rsidRPr="00A43D8B">
        <w:rPr>
          <w:i/>
        </w:rPr>
        <w:t>see also</w:t>
      </w:r>
      <w:r w:rsidRPr="007B270F">
        <w:t xml:space="preserve"> 77 Fed. Reg. 48,208, 48,233–35</w:t>
      </w:r>
      <w:r>
        <w:t>; Kluchenek</w:t>
      </w:r>
      <w:r w:rsidR="005F04DA">
        <w:t xml:space="preserve">, </w:t>
      </w:r>
      <w:r w:rsidR="005F04DA" w:rsidRPr="00911F78">
        <w:rPr>
          <w:i/>
        </w:rPr>
        <w:t>supra</w:t>
      </w:r>
      <w:r w:rsidR="005F04DA">
        <w:t xml:space="preserve"> </w:t>
      </w:r>
      <w:r w:rsidR="005F04DA" w:rsidRPr="00E618F9">
        <w:t xml:space="preserve">note </w:t>
      </w:r>
      <w:r w:rsidR="00CC6D4F" w:rsidRPr="00E618F9">
        <w:t>10</w:t>
      </w:r>
      <w:r w:rsidRPr="00E618F9">
        <w:t>.</w:t>
      </w:r>
    </w:p>
  </w:footnote>
  <w:footnote w:id="25">
    <w:p w14:paraId="210667E9" w14:textId="11430616" w:rsidR="008C18C1" w:rsidRDefault="008C18C1" w:rsidP="00894341">
      <w:pPr>
        <w:pStyle w:val="FootnoteText"/>
      </w:pPr>
      <w:r w:rsidRPr="00E618F9">
        <w:rPr>
          <w:rStyle w:val="FootnoteReference"/>
        </w:rPr>
        <w:footnoteRef/>
      </w:r>
      <w:r w:rsidRPr="00E618F9">
        <w:t xml:space="preserve"> </w:t>
      </w:r>
      <w:r w:rsidRPr="00E618F9">
        <w:rPr>
          <w:i/>
        </w:rPr>
        <w:t>See, e.g.</w:t>
      </w:r>
      <w:r w:rsidRPr="00E618F9">
        <w:t xml:space="preserve">, 77 Fed. Reg. </w:t>
      </w:r>
      <w:r w:rsidR="00756C75" w:rsidRPr="00E618F9">
        <w:t>48,208</w:t>
      </w:r>
      <w:r w:rsidRPr="00E618F9">
        <w:t>, 48,233–34</w:t>
      </w:r>
      <w:r w:rsidR="00756C75" w:rsidRPr="00E618F9">
        <w:t xml:space="preserve"> (Aug. 13, 2012)</w:t>
      </w:r>
      <w:r w:rsidRPr="00E618F9">
        <w:t xml:space="preserve"> (implying that the CFTC has exclusive jurisdiction over environmental commodities as long as the forward exclusion does not apply); Working Group Report at 49 (after the Dodd-Frank Act’s implementation, “there will be comprehensive regulation of carbon and other environmental derivatives whether they are traded on an exchange, a [swap execution facility], or executed bilaterally”)</w:t>
      </w:r>
      <w:r w:rsidR="00A43D8B" w:rsidRPr="00E618F9">
        <w:t xml:space="preserve">; Kluchenek, </w:t>
      </w:r>
      <w:r w:rsidR="00A43D8B" w:rsidRPr="00E618F9">
        <w:rPr>
          <w:i/>
        </w:rPr>
        <w:t>supra</w:t>
      </w:r>
      <w:r w:rsidR="00A43D8B" w:rsidRPr="00E618F9">
        <w:t xml:space="preserve"> n</w:t>
      </w:r>
      <w:r w:rsidR="00756C75" w:rsidRPr="00E618F9">
        <w:t>ote</w:t>
      </w:r>
      <w:r w:rsidR="00A43D8B" w:rsidRPr="00E618F9">
        <w:t xml:space="preserve"> </w:t>
      </w:r>
      <w:r w:rsidR="00CC6D4F" w:rsidRPr="00E618F9">
        <w:t>10</w:t>
      </w:r>
      <w:r w:rsidR="00A43D8B" w:rsidRPr="00E618F9">
        <w:t xml:space="preserve">. </w:t>
      </w:r>
      <w:r w:rsidRPr="00E618F9">
        <w:t>In</w:t>
      </w:r>
      <w:r>
        <w:t xml:space="preserve"> fact, as the Guidance notes, “[d]erivative contracts on environmental commodities have been trading on CFTC-regulated exchanges for decades.” Guidance at 89,414.</w:t>
      </w:r>
    </w:p>
  </w:footnote>
  <w:footnote w:id="26">
    <w:p w14:paraId="7903DE9F" w14:textId="7DC585CC" w:rsidR="008C18C1" w:rsidRDefault="008C18C1">
      <w:pPr>
        <w:pStyle w:val="FootnoteText"/>
      </w:pPr>
      <w:r>
        <w:rPr>
          <w:rStyle w:val="FootnoteReference"/>
        </w:rPr>
        <w:footnoteRef/>
      </w:r>
      <w:r>
        <w:t xml:space="preserve"> 77 Fed. Reg. 36,717, 36,723 (June 19, 2012). </w:t>
      </w:r>
    </w:p>
  </w:footnote>
  <w:footnote w:id="27">
    <w:p w14:paraId="69BC59D4" w14:textId="3F000B55" w:rsidR="00812447" w:rsidRDefault="00812447" w:rsidP="00812447">
      <w:pPr>
        <w:pStyle w:val="FootnoteText"/>
      </w:pPr>
      <w:r>
        <w:rPr>
          <w:rStyle w:val="FootnoteReference"/>
        </w:rPr>
        <w:footnoteRef/>
      </w:r>
      <w:r>
        <w:t xml:space="preserve"> Guidance at 89,417–18.</w:t>
      </w:r>
    </w:p>
  </w:footnote>
  <w:footnote w:id="28">
    <w:p w14:paraId="40AEA96B" w14:textId="0DD9E9E2" w:rsidR="008C18C1" w:rsidRPr="00E259F5" w:rsidRDefault="008C18C1">
      <w:pPr>
        <w:pStyle w:val="FootnoteText"/>
      </w:pPr>
      <w:r w:rsidRPr="00E259F5">
        <w:rPr>
          <w:rStyle w:val="FootnoteReference"/>
        </w:rPr>
        <w:footnoteRef/>
      </w:r>
      <w:r w:rsidRPr="00E259F5">
        <w:t xml:space="preserve"> </w:t>
      </w:r>
      <w:r w:rsidR="00E259F5" w:rsidRPr="00E259F5">
        <w:rPr>
          <w:i/>
        </w:rPr>
        <w:t xml:space="preserve">Id. </w:t>
      </w:r>
      <w:r w:rsidR="00E259F5" w:rsidRPr="00911F78">
        <w:t>at</w:t>
      </w:r>
      <w:r w:rsidRPr="00E259F5">
        <w:t xml:space="preserve"> 89</w:t>
      </w:r>
      <w:r w:rsidR="00A43D8B" w:rsidRPr="00E259F5">
        <w:t>,</w:t>
      </w:r>
      <w:r w:rsidRPr="00E259F5">
        <w:t xml:space="preserve">421. </w:t>
      </w:r>
    </w:p>
  </w:footnote>
  <w:footnote w:id="29">
    <w:p w14:paraId="702D1633" w14:textId="3EA30ABA" w:rsidR="008C18C1" w:rsidRPr="00E259F5" w:rsidRDefault="008C18C1">
      <w:pPr>
        <w:pStyle w:val="FootnoteText"/>
      </w:pPr>
      <w:r w:rsidRPr="00E259F5">
        <w:rPr>
          <w:rStyle w:val="FootnoteReference"/>
        </w:rPr>
        <w:footnoteRef/>
      </w:r>
      <w:r w:rsidRPr="00E259F5">
        <w:t xml:space="preserve"> </w:t>
      </w:r>
      <w:r w:rsidR="00A43D8B" w:rsidRPr="00E259F5">
        <w:t xml:space="preserve">Vittoria Battocletti, Luca Enriques, and Alessandro Romano, </w:t>
      </w:r>
      <w:r w:rsidR="00A43D8B" w:rsidRPr="00E259F5">
        <w:rPr>
          <w:i/>
        </w:rPr>
        <w:t>The Voluntary Carbon Market: Market Failures and Policy Implications</w:t>
      </w:r>
      <w:r w:rsidR="00A43D8B" w:rsidRPr="00E259F5">
        <w:t>, Eur. Corp. Governance Inst.</w:t>
      </w:r>
      <w:r w:rsidR="006A1E55" w:rsidRPr="00E259F5">
        <w:t>, 10 (July 2023),</w:t>
      </w:r>
      <w:r w:rsidRPr="00E259F5">
        <w:t xml:space="preserve"> </w:t>
      </w:r>
      <w:r w:rsidR="006A1E55" w:rsidRPr="00E259F5">
        <w:rPr>
          <w:bCs/>
        </w:rPr>
        <w:t>https://perma.cc/56D6-KE7P.</w:t>
      </w:r>
    </w:p>
  </w:footnote>
  <w:footnote w:id="30">
    <w:p w14:paraId="4EFD5BCE" w14:textId="7BEE409D" w:rsidR="008C18C1" w:rsidRDefault="008C18C1">
      <w:pPr>
        <w:pStyle w:val="FootnoteText"/>
      </w:pPr>
      <w:r w:rsidRPr="00E259F5">
        <w:rPr>
          <w:rStyle w:val="FootnoteReference"/>
        </w:rPr>
        <w:footnoteRef/>
      </w:r>
      <w:r w:rsidRPr="00E259F5">
        <w:t xml:space="preserve"> </w:t>
      </w:r>
      <w:r w:rsidR="00E259F5" w:rsidRPr="00911F78">
        <w:t>Guidance at</w:t>
      </w:r>
      <w:r w:rsidRPr="00E259F5">
        <w:t xml:space="preserve"> 89</w:t>
      </w:r>
      <w:r w:rsidR="006A1E55" w:rsidRPr="00E259F5">
        <w:t>,</w:t>
      </w:r>
      <w:r w:rsidRPr="00E259F5">
        <w:t>421.</w:t>
      </w:r>
    </w:p>
  </w:footnote>
  <w:footnote w:id="31">
    <w:p w14:paraId="6E4611E8" w14:textId="4E155119" w:rsidR="008C18C1" w:rsidRDefault="008C18C1">
      <w:pPr>
        <w:pStyle w:val="FootnoteText"/>
      </w:pPr>
      <w:r>
        <w:rPr>
          <w:rStyle w:val="FootnoteReference"/>
        </w:rPr>
        <w:footnoteRef/>
      </w:r>
      <w:r>
        <w:t xml:space="preserve"> </w:t>
      </w:r>
      <w:r w:rsidR="006A1E55">
        <w:t xml:space="preserve">Battocletti, </w:t>
      </w:r>
      <w:r w:rsidR="006A1E55" w:rsidRPr="006A1E55">
        <w:rPr>
          <w:i/>
        </w:rPr>
        <w:t>supra</w:t>
      </w:r>
      <w:r w:rsidR="006A1E55">
        <w:t xml:space="preserve"> </w:t>
      </w:r>
      <w:r w:rsidR="006A1E55" w:rsidRPr="00E618F9">
        <w:t>n</w:t>
      </w:r>
      <w:r w:rsidR="00E259F5" w:rsidRPr="00E618F9">
        <w:t>ote</w:t>
      </w:r>
      <w:r w:rsidR="006A1E55" w:rsidRPr="00E618F9">
        <w:t xml:space="preserve"> </w:t>
      </w:r>
      <w:r w:rsidR="00CC6D4F" w:rsidRPr="00E618F9">
        <w:t>29</w:t>
      </w:r>
      <w:r w:rsidRPr="00E618F9">
        <w:t xml:space="preserve"> at</w:t>
      </w:r>
      <w:r>
        <w:t xml:space="preserve"> 10.</w:t>
      </w:r>
    </w:p>
  </w:footnote>
  <w:footnote w:id="32">
    <w:p w14:paraId="0D35E692" w14:textId="61EF8C9E" w:rsidR="008C18C1" w:rsidRDefault="008C18C1">
      <w:pPr>
        <w:pStyle w:val="FootnoteText"/>
      </w:pPr>
      <w:r>
        <w:rPr>
          <w:rStyle w:val="FootnoteReference"/>
        </w:rPr>
        <w:footnoteRef/>
      </w:r>
      <w:r>
        <w:t xml:space="preserve"> </w:t>
      </w:r>
      <w:r w:rsidR="00BA2870">
        <w:rPr>
          <w:i/>
        </w:rPr>
        <w:t>See, e.g., i</w:t>
      </w:r>
      <w:r w:rsidR="00E259F5" w:rsidRPr="00C65E30">
        <w:rPr>
          <w:i/>
        </w:rPr>
        <w:t>d.</w:t>
      </w:r>
    </w:p>
  </w:footnote>
  <w:footnote w:id="33">
    <w:p w14:paraId="2F3792DC" w14:textId="7B0B72E4" w:rsidR="008C18C1" w:rsidRDefault="008C18C1">
      <w:pPr>
        <w:pStyle w:val="FootnoteText"/>
      </w:pPr>
      <w:r>
        <w:rPr>
          <w:rStyle w:val="FootnoteReference"/>
        </w:rPr>
        <w:footnoteRef/>
      </w:r>
      <w:r>
        <w:t xml:space="preserve"> </w:t>
      </w:r>
      <w:r w:rsidRPr="006A1E55">
        <w:rPr>
          <w:i/>
        </w:rPr>
        <w:t>See</w:t>
      </w:r>
      <w:r>
        <w:t xml:space="preserve"> Guidance at 89,417, n. 74 (</w:t>
      </w:r>
      <w:r w:rsidR="00FE10DB">
        <w:t>noting a “project or activity may not be considered to be ‘additional’ i</w:t>
      </w:r>
      <w:r>
        <w:t xml:space="preserve">f the project or activity is already required by law, regulation, or any other legally binding mandate applicable in the project’s or activity’s jurisdiction”). </w:t>
      </w:r>
    </w:p>
  </w:footnote>
  <w:footnote w:id="34">
    <w:p w14:paraId="251139B9" w14:textId="60DD5C78" w:rsidR="006C2133" w:rsidRPr="00362ECB" w:rsidRDefault="006C2133">
      <w:pPr>
        <w:pStyle w:val="FootnoteText"/>
      </w:pPr>
      <w:r w:rsidRPr="00362ECB">
        <w:rPr>
          <w:rStyle w:val="FootnoteReference"/>
        </w:rPr>
        <w:footnoteRef/>
      </w:r>
      <w:r w:rsidRPr="00362ECB">
        <w:t xml:space="preserve"> </w:t>
      </w:r>
      <w:r w:rsidRPr="00362ECB">
        <w:rPr>
          <w:rFonts w:eastAsia="Malgun Gothic" w:cs="Times New Roman"/>
          <w:lang w:eastAsia="ko-KR"/>
        </w:rPr>
        <w:t xml:space="preserve">Just as “procedures for conducting cross-checks across multiple carbon credit registries” are important to “ensure that emission reductions or removals are not double counted,” </w:t>
      </w:r>
      <w:r w:rsidR="00AD6B1E" w:rsidRPr="00AD6B1E">
        <w:rPr>
          <w:rFonts w:eastAsia="Malgun Gothic" w:cs="Times New Roman"/>
          <w:i/>
          <w:lang w:eastAsia="ko-KR"/>
        </w:rPr>
        <w:t>id.</w:t>
      </w:r>
      <w:r w:rsidR="003315B9" w:rsidRPr="00362ECB">
        <w:rPr>
          <w:rFonts w:eastAsia="Malgun Gothic" w:cs="Times New Roman"/>
          <w:lang w:eastAsia="ko-KR"/>
        </w:rPr>
        <w:t xml:space="preserve"> at 89,419</w:t>
      </w:r>
      <w:r w:rsidRPr="00362ECB">
        <w:rPr>
          <w:rFonts w:eastAsia="Malgun Gothic" w:cs="Times New Roman"/>
          <w:lang w:eastAsia="ko-KR"/>
        </w:rPr>
        <w:t>, procedures for cross-checking across multiple different environmental credit markets are important to ensure that credit stacking does not undermine additionality.</w:t>
      </w:r>
    </w:p>
  </w:footnote>
  <w:footnote w:id="35">
    <w:p w14:paraId="4ED0E0AC" w14:textId="7F3BC7BD" w:rsidR="008C18C1" w:rsidRPr="00362ECB" w:rsidRDefault="008C18C1">
      <w:pPr>
        <w:pStyle w:val="FootnoteText"/>
      </w:pPr>
      <w:r w:rsidRPr="00362ECB">
        <w:rPr>
          <w:rStyle w:val="FootnoteReference"/>
        </w:rPr>
        <w:footnoteRef/>
      </w:r>
      <w:r w:rsidRPr="00362ECB">
        <w:t xml:space="preserve"> </w:t>
      </w:r>
      <w:r w:rsidR="00AD6B1E" w:rsidRPr="00AD6B1E">
        <w:rPr>
          <w:i/>
        </w:rPr>
        <w:t>Id.</w:t>
      </w:r>
      <w:r w:rsidRPr="00362ECB">
        <w:t xml:space="preserve"> at 89,421.</w:t>
      </w:r>
    </w:p>
  </w:footnote>
  <w:footnote w:id="36">
    <w:p w14:paraId="0C5A5D86" w14:textId="5B6083AA" w:rsidR="008C18C1" w:rsidRDefault="008C18C1">
      <w:pPr>
        <w:pStyle w:val="FootnoteText"/>
      </w:pPr>
      <w:r w:rsidRPr="00362ECB">
        <w:rPr>
          <w:rStyle w:val="FootnoteReference"/>
        </w:rPr>
        <w:footnoteRef/>
      </w:r>
      <w:r w:rsidRPr="00362ECB">
        <w:t xml:space="preserve"> The Guidance briefly mentions leakage, but only in a footnote explaining that the amount of emissions reduction</w:t>
      </w:r>
      <w:r w:rsidR="006B292B">
        <w:t>s</w:t>
      </w:r>
      <w:r w:rsidRPr="00362ECB">
        <w:t xml:space="preserve"> or removal</w:t>
      </w:r>
      <w:r w:rsidR="006B292B">
        <w:t>s</w:t>
      </w:r>
      <w:r w:rsidRPr="00362ECB">
        <w:t xml:space="preserve"> associated with a </w:t>
      </w:r>
      <w:r>
        <w:t xml:space="preserve">project is calculated as “the difference in GHG emission reductions or removals from a baseline scenario, to the emission reductions or removals occurring under the carbon mitigation project or activity, with any adjustments for leakage.” </w:t>
      </w:r>
      <w:r w:rsidR="00AD6B1E" w:rsidRPr="00AD6B1E">
        <w:rPr>
          <w:i/>
        </w:rPr>
        <w:t>Id.</w:t>
      </w:r>
      <w:r>
        <w:t xml:space="preserve"> at 89,412, n. 36. </w:t>
      </w:r>
    </w:p>
  </w:footnote>
  <w:footnote w:id="37">
    <w:p w14:paraId="1CC51B87" w14:textId="2C8FE46B" w:rsidR="008C18C1" w:rsidRDefault="008C18C1">
      <w:pPr>
        <w:pStyle w:val="FootnoteText"/>
      </w:pPr>
      <w:r>
        <w:rPr>
          <w:rStyle w:val="FootnoteReference"/>
        </w:rPr>
        <w:footnoteRef/>
      </w:r>
      <w:r>
        <w:t xml:space="preserve"> </w:t>
      </w:r>
      <w:r w:rsidR="006A1E55">
        <w:t xml:space="preserve">Battocletti, </w:t>
      </w:r>
      <w:r w:rsidR="006A1E55" w:rsidRPr="006A1E55">
        <w:rPr>
          <w:i/>
        </w:rPr>
        <w:t>supra</w:t>
      </w:r>
      <w:r w:rsidR="00E618F9">
        <w:t xml:space="preserve"> note</w:t>
      </w:r>
      <w:r w:rsidR="00AD6B1E">
        <w:t xml:space="preserve"> </w:t>
      </w:r>
      <w:r w:rsidR="00CC6D4F" w:rsidRPr="00E618F9">
        <w:t>29</w:t>
      </w:r>
      <w:r w:rsidR="00767179">
        <w:t xml:space="preserve"> </w:t>
      </w:r>
      <w:r>
        <w:t>at 12.</w:t>
      </w:r>
    </w:p>
  </w:footnote>
  <w:footnote w:id="38">
    <w:p w14:paraId="0D9948CA" w14:textId="3DB79579" w:rsidR="008C18C1" w:rsidRPr="002E30CB" w:rsidRDefault="008C18C1">
      <w:pPr>
        <w:pStyle w:val="FootnoteText"/>
      </w:pPr>
      <w:r>
        <w:rPr>
          <w:rStyle w:val="FootnoteReference"/>
        </w:rPr>
        <w:footnoteRef/>
      </w:r>
      <w:r>
        <w:t xml:space="preserve"> </w:t>
      </w:r>
      <w:r>
        <w:rPr>
          <w:rFonts w:eastAsia="Malgun Gothic" w:cs="Times New Roman"/>
          <w:lang w:eastAsia="ko-KR"/>
        </w:rPr>
        <w:t xml:space="preserve">Because leakage can occur across national borders, leakage risk must be assessed at the international level. </w:t>
      </w:r>
      <w:r>
        <w:rPr>
          <w:rFonts w:eastAsia="Malgun Gothic" w:cs="Times New Roman"/>
          <w:i/>
          <w:iCs/>
          <w:lang w:eastAsia="ko-KR"/>
        </w:rPr>
        <w:t>Id.</w:t>
      </w:r>
    </w:p>
  </w:footnote>
  <w:footnote w:id="39">
    <w:p w14:paraId="4DE99F0A" w14:textId="0F910BB2" w:rsidR="008C18C1" w:rsidRPr="006734F1" w:rsidRDefault="008C18C1">
      <w:pPr>
        <w:pStyle w:val="FootnoteText"/>
      </w:pPr>
      <w:r>
        <w:rPr>
          <w:rStyle w:val="FootnoteReference"/>
        </w:rPr>
        <w:footnoteRef/>
      </w:r>
      <w:r>
        <w:t xml:space="preserve"> </w:t>
      </w:r>
      <w:r w:rsidR="00AD6B1E" w:rsidRPr="00AD6B1E">
        <w:rPr>
          <w:i/>
        </w:rPr>
        <w:t>Id.</w:t>
      </w:r>
      <w:r>
        <w:t xml:space="preserve"> </w:t>
      </w:r>
      <w:r w:rsidRPr="003315B9">
        <w:rPr>
          <w:i/>
        </w:rPr>
        <w:t>See also</w:t>
      </w:r>
      <w:r>
        <w:t xml:space="preserve"> W. Aaron Jenkins</w:t>
      </w:r>
      <w:r w:rsidR="007A4311">
        <w:t>, Lydia P. Olander, and Brian C. Murray</w:t>
      </w:r>
      <w:r>
        <w:t xml:space="preserve">, </w:t>
      </w:r>
      <w:r w:rsidRPr="00BD5891">
        <w:rPr>
          <w:i/>
        </w:rPr>
        <w:t>Addressing Leakage in a Greenhouse Gas Mitigation Offsets Program for Forestry and Agriculture</w:t>
      </w:r>
      <w:r>
        <w:t>, Nichols Inst</w:t>
      </w:r>
      <w:r w:rsidR="003315B9">
        <w:t>.</w:t>
      </w:r>
      <w:r>
        <w:t xml:space="preserve"> for Env</w:t>
      </w:r>
      <w:r w:rsidR="003315B9">
        <w:t>’t</w:t>
      </w:r>
      <w:r>
        <w:t xml:space="preserve"> Pol</w:t>
      </w:r>
      <w:r w:rsidR="003315B9">
        <w:t>’</w:t>
      </w:r>
      <w:r>
        <w:t>y Sols</w:t>
      </w:r>
      <w:r w:rsidR="003315B9">
        <w:t>.</w:t>
      </w:r>
      <w:r>
        <w:t>, Duke Univ</w:t>
      </w:r>
      <w:r w:rsidR="003315B9">
        <w:t>.</w:t>
      </w:r>
      <w:r>
        <w:t xml:space="preserve"> 3 (Apr. 2009), </w:t>
      </w:r>
      <w:r w:rsidR="00767179" w:rsidRPr="00AD6B1E">
        <w:t>https://perma.cc/CFE6-T22N</w:t>
      </w:r>
      <w:r>
        <w:t>.</w:t>
      </w:r>
      <w:r w:rsidRPr="00CA0ADE">
        <w:t xml:space="preserve"> </w:t>
      </w:r>
    </w:p>
  </w:footnote>
  <w:footnote w:id="40">
    <w:p w14:paraId="5DA44B77" w14:textId="56695287" w:rsidR="008C18C1" w:rsidRDefault="008C18C1" w:rsidP="00275A2B">
      <w:pPr>
        <w:pStyle w:val="FootnoteText"/>
      </w:pPr>
      <w:r>
        <w:rPr>
          <w:rStyle w:val="FootnoteReference"/>
        </w:rPr>
        <w:footnoteRef/>
      </w:r>
      <w:r>
        <w:t xml:space="preserve"> </w:t>
      </w:r>
      <w:r w:rsidR="00AD6B1E">
        <w:t xml:space="preserve">Jenkins et al., </w:t>
      </w:r>
      <w:r w:rsidR="00AD6B1E" w:rsidRPr="00AD6B1E">
        <w:rPr>
          <w:i/>
        </w:rPr>
        <w:t>supra</w:t>
      </w:r>
      <w:r w:rsidR="00AD6B1E">
        <w:t xml:space="preserve"> </w:t>
      </w:r>
      <w:r w:rsidR="00AD6B1E" w:rsidRPr="00E618F9">
        <w:t xml:space="preserve">note </w:t>
      </w:r>
      <w:r w:rsidR="00CC6D4F" w:rsidRPr="00E618F9">
        <w:t>39</w:t>
      </w:r>
      <w:r w:rsidR="00AD6B1E" w:rsidRPr="00E618F9">
        <w:t xml:space="preserve"> at 3</w:t>
      </w:r>
      <w:r w:rsidR="00AD6B1E">
        <w:t>.</w:t>
      </w:r>
      <w:r w:rsidR="00767179">
        <w:t xml:space="preserve"> </w:t>
      </w:r>
    </w:p>
  </w:footnote>
  <w:footnote w:id="41">
    <w:p w14:paraId="324D97BB" w14:textId="238E1711" w:rsidR="008C18C1" w:rsidRDefault="008C18C1" w:rsidP="00275A2B">
      <w:pPr>
        <w:pStyle w:val="FootnoteText"/>
      </w:pPr>
      <w:r>
        <w:rPr>
          <w:rStyle w:val="FootnoteReference"/>
        </w:rPr>
        <w:footnoteRef/>
      </w:r>
      <w:r>
        <w:t xml:space="preserve"> </w:t>
      </w:r>
      <w:r w:rsidR="007A4311" w:rsidRPr="007A4311">
        <w:rPr>
          <w:i/>
        </w:rPr>
        <w:t>See, e.g.</w:t>
      </w:r>
      <w:r w:rsidR="007A4311">
        <w:t xml:space="preserve">, Integrity Council for the Voluntary Carbon Mkt., </w:t>
      </w:r>
      <w:r w:rsidR="007A4311" w:rsidRPr="007A4311">
        <w:rPr>
          <w:i/>
        </w:rPr>
        <w:t>Core Carbon Principles, Assessment Framework and Assessment Procedure</w:t>
      </w:r>
      <w:r w:rsidR="007A4311">
        <w:t xml:space="preserve">, 89 (Jan. 2024), </w:t>
      </w:r>
      <w:r w:rsidR="007A4311" w:rsidRPr="007A4311">
        <w:rPr>
          <w:rStyle w:val="Strong"/>
          <w:b w:val="0"/>
        </w:rPr>
        <w:t>https://perma.cc/7KYB-7U78.</w:t>
      </w:r>
    </w:p>
  </w:footnote>
  <w:footnote w:id="42">
    <w:p w14:paraId="5B1B6E01" w14:textId="74F14D88" w:rsidR="008C18C1" w:rsidRDefault="008C18C1">
      <w:pPr>
        <w:pStyle w:val="FootnoteText"/>
      </w:pPr>
      <w:r>
        <w:rPr>
          <w:rStyle w:val="FootnoteReference"/>
        </w:rPr>
        <w:footnoteRef/>
      </w:r>
      <w:r>
        <w:t xml:space="preserve"> Guidance at 89,418.</w:t>
      </w:r>
    </w:p>
  </w:footnote>
  <w:footnote w:id="43">
    <w:p w14:paraId="00EC4FDE" w14:textId="42C8D35B" w:rsidR="008C18C1" w:rsidRDefault="008C18C1">
      <w:pPr>
        <w:pStyle w:val="FootnoteText"/>
      </w:pPr>
      <w:r w:rsidRPr="00AD6B1E">
        <w:rPr>
          <w:rStyle w:val="FootnoteReference"/>
        </w:rPr>
        <w:footnoteRef/>
      </w:r>
      <w:r w:rsidRPr="00AD6B1E">
        <w:t xml:space="preserve"> </w:t>
      </w:r>
      <w:r w:rsidR="00AD6B1E" w:rsidRPr="00AD6B1E">
        <w:rPr>
          <w:i/>
        </w:rPr>
        <w:t>Id.</w:t>
      </w:r>
      <w:r w:rsidR="00BA7442" w:rsidRPr="00AD6B1E">
        <w:t xml:space="preserve"> </w:t>
      </w:r>
      <w:r w:rsidR="00A826B9" w:rsidRPr="00AD6B1E">
        <w:t>The Guidance emphasizes a similar point in other parts of its recommendations related to quality standards</w:t>
      </w:r>
      <w:r w:rsidR="009A5582" w:rsidRPr="00AD6B1E">
        <w:t xml:space="preserve">. </w:t>
      </w:r>
      <w:r w:rsidR="009A5582" w:rsidRPr="00AD6B1E">
        <w:rPr>
          <w:i/>
        </w:rPr>
        <w:t>See, e</w:t>
      </w:r>
      <w:r w:rsidR="009A5582" w:rsidRPr="00A826B9">
        <w:rPr>
          <w:i/>
        </w:rPr>
        <w:t>.g.</w:t>
      </w:r>
      <w:r w:rsidR="009A5582">
        <w:t xml:space="preserve">, </w:t>
      </w:r>
      <w:r w:rsidR="009A5582" w:rsidRPr="00A826B9">
        <w:rPr>
          <w:i/>
        </w:rPr>
        <w:t>id.</w:t>
      </w:r>
      <w:r w:rsidR="009A5582">
        <w:t xml:space="preserve"> at 89,417 (“A DCM should consider whether [a crediting program’s procedures for assessing additionality] are sufficiently rigorous and reliable to provide a reasonable assurance that GHG emission reductions or removals are credited only if they are additional.”).</w:t>
      </w:r>
    </w:p>
  </w:footnote>
  <w:footnote w:id="44">
    <w:p w14:paraId="304EFA41" w14:textId="7065F9CA" w:rsidR="008C18C1" w:rsidRDefault="008C18C1">
      <w:pPr>
        <w:pStyle w:val="FootnoteText"/>
      </w:pPr>
      <w:r>
        <w:rPr>
          <w:rStyle w:val="FootnoteReference"/>
        </w:rPr>
        <w:footnoteRef/>
      </w:r>
      <w:r>
        <w:t xml:space="preserve"> </w:t>
      </w:r>
      <w:r w:rsidR="00AD6B1E" w:rsidRPr="00AD6B1E">
        <w:rPr>
          <w:i/>
        </w:rPr>
        <w:t>Id.</w:t>
      </w:r>
      <w:r>
        <w:t xml:space="preserve"> at 89,418.</w:t>
      </w:r>
    </w:p>
  </w:footnote>
  <w:footnote w:id="45">
    <w:p w14:paraId="622506BA" w14:textId="2487F9F8" w:rsidR="008C18C1" w:rsidRDefault="008C18C1">
      <w:pPr>
        <w:pStyle w:val="FootnoteText"/>
      </w:pPr>
      <w:r>
        <w:rPr>
          <w:rStyle w:val="FootnoteReference"/>
        </w:rPr>
        <w:footnoteRef/>
      </w:r>
      <w:r>
        <w:t xml:space="preserve"> </w:t>
      </w:r>
      <w:r w:rsidR="00AD6B1E" w:rsidRPr="00AD6B1E">
        <w:rPr>
          <w:i/>
        </w:rPr>
        <w:t>Id.</w:t>
      </w:r>
    </w:p>
  </w:footnote>
  <w:footnote w:id="46">
    <w:p w14:paraId="4DEF6F4A" w14:textId="4DEF2487" w:rsidR="00DD0259" w:rsidRPr="00EA36F4" w:rsidRDefault="00DD0259" w:rsidP="00DD0259">
      <w:pPr>
        <w:pStyle w:val="FootnoteText"/>
      </w:pPr>
      <w:r>
        <w:rPr>
          <w:rStyle w:val="FootnoteReference"/>
        </w:rPr>
        <w:footnoteRef/>
      </w:r>
      <w:r>
        <w:t xml:space="preserve"> </w:t>
      </w:r>
      <w:r>
        <w:rPr>
          <w:i/>
          <w:iCs/>
        </w:rPr>
        <w:t>See</w:t>
      </w:r>
      <w:r>
        <w:t xml:space="preserve">, </w:t>
      </w:r>
      <w:r>
        <w:rPr>
          <w:i/>
          <w:iCs/>
        </w:rPr>
        <w:t>e.g.</w:t>
      </w:r>
      <w:r>
        <w:t xml:space="preserve">, </w:t>
      </w:r>
      <w:r w:rsidR="00B115A1">
        <w:t>Env’t Prot. Agency</w:t>
      </w:r>
      <w:r>
        <w:t xml:space="preserve">, </w:t>
      </w:r>
      <w:r w:rsidRPr="00B115A1">
        <w:rPr>
          <w:i/>
        </w:rPr>
        <w:t>Report on the Social Cost of Greenhouse Gases: Estimates Incorporating Recent Scientific Advances</w:t>
      </w:r>
      <w:r w:rsidR="00B115A1">
        <w:t>,</w:t>
      </w:r>
      <w:r>
        <w:t xml:space="preserve"> 78 (Nov. 2023), </w:t>
      </w:r>
      <w:r w:rsidR="00B115A1" w:rsidRPr="00B115A1">
        <w:rPr>
          <w:rStyle w:val="Strong"/>
          <w:b w:val="0"/>
        </w:rPr>
        <w:t>https://perma.cc/XUP4-ELGA</w:t>
      </w:r>
      <w:r w:rsidR="00B115A1" w:rsidDel="00B115A1">
        <w:t xml:space="preserve"> </w:t>
      </w:r>
      <w:r>
        <w:t>(“Emissions further in the future produce larger incremental damages as physical and economic systems become more stressed in response to greater climatic change and because income is growing over time.”).</w:t>
      </w:r>
    </w:p>
  </w:footnote>
  <w:footnote w:id="47">
    <w:p w14:paraId="15BB5F29" w14:textId="6A59200A" w:rsidR="00A826B9" w:rsidRPr="0041554D" w:rsidRDefault="00A826B9">
      <w:pPr>
        <w:pStyle w:val="FootnoteText"/>
      </w:pPr>
      <w:r>
        <w:rPr>
          <w:rStyle w:val="FootnoteReference"/>
        </w:rPr>
        <w:footnoteRef/>
      </w:r>
      <w:r>
        <w:t xml:space="preserve"> </w:t>
      </w:r>
      <w:r w:rsidR="0041554D">
        <w:t>Guidance at 89,418.</w:t>
      </w:r>
    </w:p>
  </w:footnote>
  <w:footnote w:id="48">
    <w:p w14:paraId="0B01C859" w14:textId="0CE7ED1E" w:rsidR="00625FF7" w:rsidRDefault="00625FF7">
      <w:pPr>
        <w:pStyle w:val="FootnoteText"/>
      </w:pPr>
      <w:r>
        <w:rPr>
          <w:rStyle w:val="FootnoteReference"/>
        </w:rPr>
        <w:footnoteRef/>
      </w:r>
      <w:r>
        <w:t xml:space="preserve"> </w:t>
      </w:r>
      <w:r w:rsidR="00AD6B1E" w:rsidRPr="00AD6B1E">
        <w:rPr>
          <w:i/>
        </w:rPr>
        <w:t>Id.</w:t>
      </w:r>
      <w:r>
        <w:t xml:space="preserve"> at 89,413.</w:t>
      </w:r>
    </w:p>
  </w:footnote>
  <w:footnote w:id="49">
    <w:p w14:paraId="1FEAB501" w14:textId="4D7DB030" w:rsidR="008C18C1" w:rsidRDefault="008C18C1">
      <w:pPr>
        <w:pStyle w:val="FootnoteText"/>
      </w:pPr>
      <w:r>
        <w:rPr>
          <w:rStyle w:val="FootnoteReference"/>
        </w:rPr>
        <w:footnoteRef/>
      </w:r>
      <w:r>
        <w:t xml:space="preserve"> </w:t>
      </w:r>
      <w:r w:rsidR="007A4311">
        <w:t>7 U.S.C.A.</w:t>
      </w:r>
      <w:r>
        <w:t xml:space="preserve"> § 7(d)(1)(B). </w:t>
      </w:r>
    </w:p>
  </w:footnote>
  <w:footnote w:id="50">
    <w:p w14:paraId="3D8BFC45" w14:textId="5A15AD06" w:rsidR="008C18C1" w:rsidRDefault="008C18C1">
      <w:pPr>
        <w:pStyle w:val="FootnoteText"/>
      </w:pPr>
      <w:r>
        <w:rPr>
          <w:rStyle w:val="FootnoteReference"/>
        </w:rPr>
        <w:footnoteRef/>
      </w:r>
      <w:r>
        <w:t xml:space="preserve"> </w:t>
      </w:r>
      <w:r w:rsidR="00FE10DB">
        <w:t>Among other things, the CEA’s purpose is “</w:t>
      </w:r>
      <w:r w:rsidRPr="005C040F">
        <w:t>to promote responsible innovation and fair competition among boards of trade, other markets and market participants</w:t>
      </w:r>
      <w:r>
        <w:t xml:space="preserve">.” 7 U.S.C.A. § 5(b). The discretion that DCMs have under Section 7 enables them to develop new products, which they then must submit to the CFTC so that the CFTC can ensure the products meet </w:t>
      </w:r>
      <w:r w:rsidR="0071794F">
        <w:t>the CFTC’s</w:t>
      </w:r>
      <w:r>
        <w:t xml:space="preserve"> minimum standards. </w:t>
      </w:r>
      <w:r w:rsidRPr="007A4311">
        <w:rPr>
          <w:i/>
        </w:rPr>
        <w:t>See</w:t>
      </w:r>
      <w:r>
        <w:t xml:space="preserve"> Statement of Commissioner Caroline D. Pham on Effective Self-Regulation and Notice of Proposed Rulemaking to Amend Part 40 Regulations (July 26, 2023), </w:t>
      </w:r>
      <w:r w:rsidR="007A4311" w:rsidRPr="00AD6B1E">
        <w:t>https://perma.cc/QSG6-J76X</w:t>
      </w:r>
      <w:r w:rsidR="007A4311">
        <w:rPr>
          <w:rStyle w:val="Strong"/>
        </w:rPr>
        <w:t xml:space="preserve"> </w:t>
      </w:r>
      <w:r>
        <w:t xml:space="preserve">(in light of “the mandate to promote responsible innovation and fair competition” in the CEA, “[d]erivatives markets should enable growth and progress for commercial enterprise and free markets”); Heath P. Tarbert, </w:t>
      </w:r>
      <w:r w:rsidRPr="00AD564B">
        <w:rPr>
          <w:i/>
        </w:rPr>
        <w:t>Self-Regulation in the Derivatives Markets: Stability Through Collaboration</w:t>
      </w:r>
      <w:r>
        <w:t xml:space="preserve">, 41 </w:t>
      </w:r>
      <w:r w:rsidRPr="00AD564B">
        <w:rPr>
          <w:smallCaps/>
        </w:rPr>
        <w:t>Nw. J. Int’l L. &amp; Bus.</w:t>
      </w:r>
      <w:r>
        <w:t xml:space="preserve"> 175 (2021), </w:t>
      </w:r>
      <w:r w:rsidR="00FE10DB" w:rsidRPr="00AD6B1E">
        <w:t>https://scholarlycommons.law.northwestern.edu/cgi/viewcontent.cgi?article=1865&amp;context=njilb</w:t>
      </w:r>
      <w:r w:rsidR="007A4311">
        <w:rPr>
          <w:rStyle w:val="Hyperlink"/>
        </w:rPr>
        <w:t xml:space="preserve"> </w:t>
      </w:r>
      <w:r w:rsidR="007A4311" w:rsidRPr="00AD6B1E">
        <w:rPr>
          <w:rStyle w:val="Hyperlink"/>
          <w:color w:val="auto"/>
          <w:u w:val="none"/>
        </w:rPr>
        <w:t>[Permalink unavailable]</w:t>
      </w:r>
      <w:r w:rsidRPr="00AD6B1E">
        <w:t xml:space="preserve"> </w:t>
      </w:r>
      <w:r w:rsidRPr="00E87098">
        <w:t>(“Core principles are at the heart of self-regulation because they provide basic requirements while leaving exchanges with ‘reasonable discretion in establishing the manner in which the [exchange] complies….’”)</w:t>
      </w:r>
      <w:r w:rsidR="00E87098" w:rsidRPr="00E87098">
        <w:t xml:space="preserve"> (brackets included)</w:t>
      </w:r>
      <w:r w:rsidRPr="00E87098">
        <w:t>.</w:t>
      </w:r>
    </w:p>
  </w:footnote>
  <w:footnote w:id="51">
    <w:p w14:paraId="3F1CDDE4" w14:textId="06AB257E" w:rsidR="008C18C1" w:rsidRDefault="008C18C1">
      <w:pPr>
        <w:pStyle w:val="FootnoteText"/>
      </w:pPr>
      <w:r>
        <w:rPr>
          <w:rStyle w:val="FootnoteReference"/>
        </w:rPr>
        <w:footnoteRef/>
      </w:r>
      <w:r>
        <w:t xml:space="preserve"> </w:t>
      </w:r>
      <w:r w:rsidRPr="00BD5891">
        <w:rPr>
          <w:i/>
        </w:rPr>
        <w:t>See, e.g.</w:t>
      </w:r>
      <w:r>
        <w:t xml:space="preserve">, NYMEX Rulebook, </w:t>
      </w:r>
      <w:r w:rsidRPr="007A4311">
        <w:rPr>
          <w:i/>
        </w:rPr>
        <w:t>Chapter 200: Light Sweet Crude Oil Futures</w:t>
      </w:r>
      <w:r>
        <w:t xml:space="preserve">, </w:t>
      </w:r>
      <w:r w:rsidRPr="00AD6B1E">
        <w:t>https://www.cmegroup.com/content/dam/cmegroup/rulebook/NYMEX/2/200.pdf</w:t>
      </w:r>
      <w:r>
        <w:t xml:space="preserve"> </w:t>
      </w:r>
      <w:r w:rsidR="00373190">
        <w:t>[Permalink unavailable</w:t>
      </w:r>
      <w:bookmarkStart w:id="0" w:name="_GoBack"/>
      <w:r w:rsidR="00373190">
        <w:t>]</w:t>
      </w:r>
      <w:bookmarkEnd w:id="0"/>
      <w:r w:rsidR="00373190">
        <w:t xml:space="preserve"> </w:t>
      </w:r>
      <w:r>
        <w:t>(setting quality standards, such as sulfur content and viscosity standards, for the light sweet crude oil underlying light sweet crude oil futures).</w:t>
      </w:r>
    </w:p>
  </w:footnote>
  <w:footnote w:id="52">
    <w:p w14:paraId="517B8A31" w14:textId="5FC6DA91" w:rsidR="008C18C1" w:rsidRDefault="008C18C1">
      <w:pPr>
        <w:pStyle w:val="FootnoteText"/>
      </w:pPr>
      <w:r>
        <w:rPr>
          <w:rStyle w:val="FootnoteReference"/>
        </w:rPr>
        <w:footnoteRef/>
      </w:r>
      <w:r>
        <w:t xml:space="preserve"> </w:t>
      </w:r>
      <w:r w:rsidR="00373190">
        <w:t xml:space="preserve">Int’l Swaps and Derivatives Ass’n, </w:t>
      </w:r>
      <w:r w:rsidR="00AD6B1E" w:rsidRPr="00AD6B1E">
        <w:rPr>
          <w:i/>
        </w:rPr>
        <w:t>supra</w:t>
      </w:r>
      <w:r w:rsidR="00AD6B1E">
        <w:t xml:space="preserve"> </w:t>
      </w:r>
      <w:r w:rsidR="00AD6B1E" w:rsidRPr="00E618F9">
        <w:t xml:space="preserve">note </w:t>
      </w:r>
      <w:r w:rsidR="00E618F9" w:rsidRPr="00E618F9">
        <w:t>6</w:t>
      </w:r>
      <w:r w:rsidR="00AD6B1E" w:rsidRPr="00E618F9">
        <w:t xml:space="preserve"> at</w:t>
      </w:r>
      <w:r w:rsidR="00AD6B1E">
        <w:t xml:space="preserve"> 21. </w:t>
      </w:r>
    </w:p>
  </w:footnote>
  <w:footnote w:id="53">
    <w:p w14:paraId="392C77C5" w14:textId="0779DEED" w:rsidR="008C18C1" w:rsidRDefault="008C18C1" w:rsidP="005D2748">
      <w:pPr>
        <w:pStyle w:val="FootnoteText"/>
      </w:pPr>
      <w:r>
        <w:rPr>
          <w:rStyle w:val="FootnoteReference"/>
        </w:rPr>
        <w:footnoteRef/>
      </w:r>
      <w:r>
        <w:t xml:space="preserve"> </w:t>
      </w:r>
      <w:r w:rsidR="00AD6B1E" w:rsidRPr="00AD6B1E">
        <w:rPr>
          <w:i/>
        </w:rPr>
        <w:t>Id.</w:t>
      </w:r>
      <w:r w:rsidR="00AD6B1E">
        <w:t xml:space="preserve"> </w:t>
      </w:r>
      <w:r>
        <w:t>(citing an estimate by the Taskforce on Scaling Voluntary Carbon Markets).</w:t>
      </w:r>
    </w:p>
  </w:footnote>
  <w:footnote w:id="54">
    <w:p w14:paraId="480C98C1" w14:textId="46C753A6" w:rsidR="008C18C1" w:rsidRDefault="008C18C1" w:rsidP="005D2748">
      <w:pPr>
        <w:pStyle w:val="FootnoteText"/>
      </w:pPr>
      <w:r>
        <w:rPr>
          <w:rStyle w:val="FootnoteReference"/>
        </w:rPr>
        <w:footnoteRef/>
      </w:r>
      <w:r>
        <w:t xml:space="preserve"> Guidance at 89,410 89,414–15. </w:t>
      </w:r>
    </w:p>
  </w:footnote>
  <w:footnote w:id="55">
    <w:p w14:paraId="010978BE" w14:textId="5A0D16DE" w:rsidR="008C18C1" w:rsidRPr="00E618F9" w:rsidRDefault="008C18C1" w:rsidP="0050794D">
      <w:pPr>
        <w:pStyle w:val="FootnoteText"/>
      </w:pPr>
      <w:r>
        <w:rPr>
          <w:rStyle w:val="FootnoteReference"/>
        </w:rPr>
        <w:footnoteRef/>
      </w:r>
      <w:r>
        <w:t xml:space="preserve"> </w:t>
      </w:r>
      <w:r w:rsidRPr="00373190">
        <w:rPr>
          <w:i/>
        </w:rPr>
        <w:t>But see</w:t>
      </w:r>
      <w:r>
        <w:t xml:space="preserve"> Battocletti et al.</w:t>
      </w:r>
      <w:r w:rsidR="00373190">
        <w:t xml:space="preserve">, </w:t>
      </w:r>
      <w:r w:rsidR="00373190" w:rsidRPr="00373190">
        <w:rPr>
          <w:i/>
        </w:rPr>
        <w:t>supra</w:t>
      </w:r>
      <w:r w:rsidR="00373190">
        <w:t xml:space="preserve"> </w:t>
      </w:r>
      <w:r w:rsidR="00373190" w:rsidRPr="00E618F9">
        <w:t>note</w:t>
      </w:r>
      <w:r w:rsidRPr="00E618F9">
        <w:t xml:space="preserve"> </w:t>
      </w:r>
      <w:r w:rsidR="00CC6D4F" w:rsidRPr="00E618F9">
        <w:t>29</w:t>
      </w:r>
      <w:r w:rsidR="00373190" w:rsidRPr="00E618F9">
        <w:t xml:space="preserve"> </w:t>
      </w:r>
      <w:r w:rsidRPr="00E618F9">
        <w:t>at 27–29 (buyers have incentives to purchase cheap and inflated VCCs, and even buyers who care about VCC integrity face information asymmetries).</w:t>
      </w:r>
    </w:p>
  </w:footnote>
  <w:footnote w:id="56">
    <w:p w14:paraId="6369C2ED" w14:textId="54B1E398" w:rsidR="008C18C1" w:rsidRDefault="008C18C1" w:rsidP="0050794D">
      <w:pPr>
        <w:pStyle w:val="FootnoteText"/>
      </w:pPr>
      <w:r w:rsidRPr="00E618F9">
        <w:rPr>
          <w:rStyle w:val="FootnoteReference"/>
        </w:rPr>
        <w:footnoteRef/>
      </w:r>
      <w:r w:rsidRPr="00E618F9">
        <w:t xml:space="preserve"> </w:t>
      </w:r>
      <w:r w:rsidR="00373190" w:rsidRPr="00E618F9">
        <w:rPr>
          <w:i/>
        </w:rPr>
        <w:t>See, e.g.</w:t>
      </w:r>
      <w:r w:rsidR="00373190" w:rsidRPr="00E618F9">
        <w:t>,</w:t>
      </w:r>
      <w:r w:rsidRPr="00E618F9">
        <w:t xml:space="preserve"> Battocletti et al.</w:t>
      </w:r>
      <w:r w:rsidR="00373190" w:rsidRPr="00E618F9">
        <w:t xml:space="preserve">, </w:t>
      </w:r>
      <w:r w:rsidR="00373190" w:rsidRPr="00E618F9">
        <w:rPr>
          <w:i/>
        </w:rPr>
        <w:t>supra</w:t>
      </w:r>
      <w:r w:rsidR="00AD6B1E" w:rsidRPr="00E618F9">
        <w:t xml:space="preserve"> note </w:t>
      </w:r>
      <w:r w:rsidR="00CC6D4F" w:rsidRPr="00E618F9">
        <w:t>29</w:t>
      </w:r>
      <w:r w:rsidR="00373190" w:rsidRPr="00E618F9">
        <w:t xml:space="preserve"> (discussing</w:t>
      </w:r>
      <w:r w:rsidR="00373190">
        <w:t xml:space="preserve"> market failures that affect the primary and secondary markets for VCCs).</w:t>
      </w:r>
    </w:p>
  </w:footnote>
  <w:footnote w:id="57">
    <w:p w14:paraId="7D5849E2" w14:textId="11165D1B" w:rsidR="008C18C1" w:rsidRDefault="008C18C1" w:rsidP="0050794D">
      <w:pPr>
        <w:pStyle w:val="FootnoteText"/>
      </w:pPr>
      <w:r>
        <w:rPr>
          <w:rStyle w:val="FootnoteReference"/>
        </w:rPr>
        <w:footnoteRef/>
      </w:r>
      <w:r>
        <w:t xml:space="preserve"> Guidance at </w:t>
      </w:r>
      <w:r w:rsidR="007D7281">
        <w:t>89,415</w:t>
      </w:r>
      <w:r>
        <w:t xml:space="preserve">; </w:t>
      </w:r>
      <w:r w:rsidRPr="00373190">
        <w:rPr>
          <w:i/>
        </w:rPr>
        <w:t>see also</w:t>
      </w:r>
      <w:r>
        <w:t xml:space="preserve"> Appendix 3—Statement of Commissioner Kristin Johnson at 88 Fed. Reg. </w:t>
      </w:r>
      <w:r w:rsidR="007D7281">
        <w:t xml:space="preserve">89,423, </w:t>
      </w:r>
      <w:r>
        <w:t>89</w:t>
      </w:r>
      <w:r w:rsidR="00373190">
        <w:t>,</w:t>
      </w:r>
      <w:r>
        <w:t xml:space="preserve">424–25 (noting “the Commission’s authority to introduce regulation is limited to commodity derivatives”). </w:t>
      </w:r>
    </w:p>
  </w:footnote>
  <w:footnote w:id="58">
    <w:p w14:paraId="78EF0536" w14:textId="30C3F603" w:rsidR="008C18C1" w:rsidRDefault="008C18C1" w:rsidP="0063134B">
      <w:pPr>
        <w:pStyle w:val="FootnoteText"/>
      </w:pPr>
      <w:r>
        <w:rPr>
          <w:rStyle w:val="FootnoteReference"/>
        </w:rPr>
        <w:footnoteRef/>
      </w:r>
      <w:r>
        <w:t xml:space="preserve"> Working Group Report at 51. At the same time, the Working Group Report appreciates that “more detailed work may be necessary to consider the appropriate oversight regime for existing and prospective primary and secondary carbon markets.”</w:t>
      </w:r>
      <w:r w:rsidRPr="009E3B16">
        <w:t xml:space="preserve"> </w:t>
      </w:r>
      <w:r w:rsidR="00AD6B1E" w:rsidRPr="00AD6B1E">
        <w:rPr>
          <w:i/>
        </w:rPr>
        <w:t>Id.</w:t>
      </w:r>
      <w:r w:rsidR="00AD6B1E">
        <w:rPr>
          <w:i/>
        </w:rPr>
        <w:t xml:space="preserve"> </w:t>
      </w:r>
      <w:r>
        <w:t>at 52.</w:t>
      </w:r>
    </w:p>
  </w:footnote>
  <w:footnote w:id="59">
    <w:p w14:paraId="635B6630" w14:textId="51162DC2" w:rsidR="008C18C1" w:rsidRDefault="008C18C1" w:rsidP="00E372E7">
      <w:pPr>
        <w:pStyle w:val="FootnoteText"/>
      </w:pPr>
      <w:r>
        <w:rPr>
          <w:rStyle w:val="FootnoteReference"/>
        </w:rPr>
        <w:footnoteRef/>
      </w:r>
      <w:r>
        <w:t xml:space="preserve"> </w:t>
      </w:r>
      <w:r w:rsidR="00AD6B1E" w:rsidRPr="00AD6B1E">
        <w:rPr>
          <w:i/>
        </w:rPr>
        <w:t>Id.</w:t>
      </w:r>
      <w:r w:rsidR="00AD6B1E">
        <w:rPr>
          <w:i/>
        </w:rPr>
        <w:t xml:space="preserve"> </w:t>
      </w:r>
      <w:r>
        <w:t>at 43.</w:t>
      </w:r>
    </w:p>
  </w:footnote>
  <w:footnote w:id="60">
    <w:p w14:paraId="446C2231" w14:textId="35F8FBDB" w:rsidR="008C18C1" w:rsidRDefault="008C18C1" w:rsidP="00E372E7">
      <w:pPr>
        <w:pStyle w:val="FootnoteText"/>
      </w:pPr>
      <w:r>
        <w:rPr>
          <w:rStyle w:val="FootnoteReference"/>
        </w:rPr>
        <w:footnoteRef/>
      </w:r>
      <w:r>
        <w:t xml:space="preserve"> </w:t>
      </w:r>
      <w:r w:rsidR="00AD6B1E" w:rsidRPr="00AD6B1E">
        <w:rPr>
          <w:i/>
        </w:rPr>
        <w:t>Id.</w:t>
      </w:r>
      <w:r w:rsidR="00AD6B1E">
        <w:rPr>
          <w:i/>
        </w:rPr>
        <w:t xml:space="preserve"> </w:t>
      </w:r>
      <w:r>
        <w:t xml:space="preserve">at 42. </w:t>
      </w:r>
    </w:p>
  </w:footnote>
  <w:footnote w:id="61">
    <w:p w14:paraId="169F8A03" w14:textId="4E68A40A" w:rsidR="008C18C1" w:rsidRDefault="008C18C1" w:rsidP="0050794D">
      <w:pPr>
        <w:pStyle w:val="FootnoteText"/>
      </w:pPr>
      <w:r>
        <w:rPr>
          <w:rStyle w:val="FootnoteReference"/>
        </w:rPr>
        <w:footnoteRef/>
      </w:r>
      <w:r>
        <w:t xml:space="preserve"> </w:t>
      </w:r>
      <w:r w:rsidR="007D7281" w:rsidRPr="007D7281">
        <w:rPr>
          <w:i/>
        </w:rPr>
        <w:t>See</w:t>
      </w:r>
      <w:r w:rsidR="007D7281">
        <w:t xml:space="preserve"> Appendix 3—Statement </w:t>
      </w:r>
      <w:r w:rsidR="00AD6B1E">
        <w:t xml:space="preserve">of Commissioner Kristin Johnson, </w:t>
      </w:r>
      <w:r w:rsidR="00AD6B1E" w:rsidRPr="00AD6B1E">
        <w:rPr>
          <w:i/>
        </w:rPr>
        <w:t>supra</w:t>
      </w:r>
      <w:r w:rsidR="00AD6B1E">
        <w:t xml:space="preserve"> </w:t>
      </w:r>
      <w:r w:rsidR="00AD6B1E" w:rsidRPr="00E618F9">
        <w:t xml:space="preserve">note </w:t>
      </w:r>
      <w:r w:rsidR="00E618F9" w:rsidRPr="00E618F9">
        <w:t>57</w:t>
      </w:r>
      <w:r w:rsidR="00AD6B1E" w:rsidRPr="00E618F9">
        <w:t xml:space="preserve"> at</w:t>
      </w:r>
      <w:r w:rsidR="007D7281">
        <w:t xml:space="preserve"> 89,424;</w:t>
      </w:r>
      <w:r>
        <w:t xml:space="preserve"> Working Group Report at 43; Kluchenek</w:t>
      </w:r>
      <w:r w:rsidR="007D7281">
        <w:t xml:space="preserve">, </w:t>
      </w:r>
      <w:r w:rsidR="007D7281" w:rsidRPr="007D7281">
        <w:rPr>
          <w:i/>
        </w:rPr>
        <w:t>supra</w:t>
      </w:r>
      <w:r w:rsidR="007D7281">
        <w:t xml:space="preserve"> </w:t>
      </w:r>
      <w:r w:rsidR="007D7281" w:rsidRPr="00E618F9">
        <w:t xml:space="preserve">note </w:t>
      </w:r>
      <w:r w:rsidR="00E618F9" w:rsidRPr="00E618F9">
        <w:t>10</w:t>
      </w:r>
      <w:r w:rsidRPr="00E618F9">
        <w:t xml:space="preserve"> at</w:t>
      </w:r>
      <w:r>
        <w:t xml:space="preserve"> 49 (citing 7 U.S.C. §§ 9, 12(d), 13(a)(2), 13b, 15 and 17 C.F.R. §</w:t>
      </w:r>
      <w:r w:rsidR="002A403F">
        <w:t> </w:t>
      </w:r>
      <w:r>
        <w:t xml:space="preserve">180.1(a)). </w:t>
      </w:r>
    </w:p>
  </w:footnote>
  <w:footnote w:id="62">
    <w:p w14:paraId="70BF748E" w14:textId="04BAE424" w:rsidR="008C18C1" w:rsidRDefault="008C18C1" w:rsidP="0050794D">
      <w:pPr>
        <w:pStyle w:val="FootnoteText"/>
      </w:pPr>
      <w:r>
        <w:rPr>
          <w:rStyle w:val="FootnoteReference"/>
        </w:rPr>
        <w:footnoteRef/>
      </w:r>
      <w:r>
        <w:t xml:space="preserve"> </w:t>
      </w:r>
      <w:r w:rsidR="007D7281">
        <w:t>Guidance</w:t>
      </w:r>
      <w:r>
        <w:t xml:space="preserve"> at 89</w:t>
      </w:r>
      <w:r w:rsidR="007D7281">
        <w:t>,</w:t>
      </w:r>
      <w:r>
        <w:t>415</w:t>
      </w:r>
      <w:r w:rsidR="007D7281">
        <w:t>,</w:t>
      </w:r>
      <w:r>
        <w:t xml:space="preserve"> n. 60. </w:t>
      </w:r>
    </w:p>
  </w:footnote>
  <w:footnote w:id="63">
    <w:p w14:paraId="56822F88" w14:textId="2C8128F8" w:rsidR="008C18C1" w:rsidRDefault="008C18C1">
      <w:pPr>
        <w:pStyle w:val="FootnoteText"/>
      </w:pPr>
      <w:r>
        <w:rPr>
          <w:rStyle w:val="FootnoteReference"/>
        </w:rPr>
        <w:footnoteRef/>
      </w:r>
      <w:r>
        <w:t xml:space="preserve"> </w:t>
      </w:r>
      <w:r w:rsidR="002A403F">
        <w:t>T</w:t>
      </w:r>
      <w:r>
        <w:t>he Commission started exploring this question as early as 2009.</w:t>
      </w:r>
      <w:r w:rsidR="007D7281">
        <w:t xml:space="preserve"> </w:t>
      </w:r>
      <w:r w:rsidR="007D7281" w:rsidRPr="007D7281">
        <w:rPr>
          <w:i/>
        </w:rPr>
        <w:t>See</w:t>
      </w:r>
      <w:r w:rsidRPr="009E3B16">
        <w:rPr>
          <w:i/>
        </w:rPr>
        <w:t xml:space="preserve"> </w:t>
      </w:r>
      <w:r w:rsidRPr="00BF6921">
        <w:rPr>
          <w:i/>
        </w:rPr>
        <w:t>Global Warming Legislation: Carbon Markets and Producer Groups Before the S. Comm. on Agriculture, Nutrition, and Forestry</w:t>
      </w:r>
      <w:r>
        <w:t>, 111</w:t>
      </w:r>
      <w:r w:rsidRPr="00BF6921">
        <w:rPr>
          <w:vertAlign w:val="superscript"/>
        </w:rPr>
        <w:t>th</w:t>
      </w:r>
      <w:r>
        <w:t xml:space="preserve"> Cong. 3 (2009) (statement of Gary Gensler, Chairman, C</w:t>
      </w:r>
      <w:r w:rsidR="002A403F">
        <w:t>FTC</w:t>
      </w:r>
      <w:r>
        <w:t xml:space="preserve">), </w:t>
      </w:r>
      <w:r w:rsidR="007D7281" w:rsidRPr="007D7281">
        <w:rPr>
          <w:rStyle w:val="Strong"/>
          <w:b w:val="0"/>
        </w:rPr>
        <w:t>https://perma.cc/2HWY-CASZ</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579E" w14:textId="77777777" w:rsidR="008C18C1" w:rsidRDefault="008C18C1">
    <w:pPr>
      <w:pStyle w:val="Header1"/>
    </w:pPr>
    <w:r>
      <w:rPr>
        <w:noProof/>
      </w:rPr>
      <w:drawing>
        <wp:inline distT="0" distB="0" distL="0" distR="0" wp14:anchorId="59297F7B" wp14:editId="280C6B13">
          <wp:extent cx="3175000" cy="1200150"/>
          <wp:effectExtent l="0" t="0" r="0" b="0"/>
          <wp:docPr id="1" name="officeArt object" descr="Picture 5"/>
          <wp:cNvGraphicFramePr/>
          <a:graphic xmlns:a="http://schemas.openxmlformats.org/drawingml/2006/main">
            <a:graphicData uri="http://schemas.openxmlformats.org/drawingml/2006/picture">
              <pic:pic xmlns:pic="http://schemas.openxmlformats.org/drawingml/2006/picture">
                <pic:nvPicPr>
                  <pic:cNvPr id="1073741826" name="Picture 5" descr="Picture 5"/>
                  <pic:cNvPicPr>
                    <a:picLocks noChangeAspect="1"/>
                  </pic:cNvPicPr>
                </pic:nvPicPr>
                <pic:blipFill rotWithShape="1">
                  <a:blip r:embed="rId1"/>
                  <a:srcRect l="5545" t="8967" r="4000" b="8325"/>
                  <a:stretch/>
                </pic:blipFill>
                <pic:spPr bwMode="auto">
                  <a:xfrm>
                    <a:off x="0" y="0"/>
                    <a:ext cx="3264662" cy="1234042"/>
                  </a:xfrm>
                  <a:prstGeom prst="rect">
                    <a:avLst/>
                  </a:prstGeom>
                  <a:ln>
                    <a:noFill/>
                  </a:ln>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2FC4"/>
    <w:multiLevelType w:val="hybridMultilevel"/>
    <w:tmpl w:val="9B20BDDE"/>
    <w:lvl w:ilvl="0" w:tplc="B5F857D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553AD"/>
    <w:multiLevelType w:val="hybridMultilevel"/>
    <w:tmpl w:val="9B20BDDE"/>
    <w:lvl w:ilvl="0" w:tplc="B5F857D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A48E3"/>
    <w:multiLevelType w:val="hybridMultilevel"/>
    <w:tmpl w:val="027E0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144E2A"/>
    <w:multiLevelType w:val="hybridMultilevel"/>
    <w:tmpl w:val="BA38A6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77737A"/>
    <w:multiLevelType w:val="hybridMultilevel"/>
    <w:tmpl w:val="B6961666"/>
    <w:lvl w:ilvl="0" w:tplc="40A6A48C">
      <w:start w:val="1"/>
      <w:numFmt w:val="upperRoman"/>
      <w:lvlText w:val="%1."/>
      <w:lvlJc w:val="left"/>
      <w:pPr>
        <w:ind w:left="1080" w:hanging="720"/>
      </w:pPr>
      <w:rPr>
        <w:rFonts w:hint="default"/>
        <w:b/>
        <w:bCs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A67DD"/>
    <w:multiLevelType w:val="hybridMultilevel"/>
    <w:tmpl w:val="9B20BDDE"/>
    <w:lvl w:ilvl="0" w:tplc="B5F857D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75C71"/>
    <w:multiLevelType w:val="hybridMultilevel"/>
    <w:tmpl w:val="9B20BDDE"/>
    <w:lvl w:ilvl="0" w:tplc="B5F857D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C0DAF"/>
    <w:multiLevelType w:val="hybridMultilevel"/>
    <w:tmpl w:val="33ACAE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8C6081B"/>
    <w:multiLevelType w:val="hybridMultilevel"/>
    <w:tmpl w:val="664C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00CFC"/>
    <w:rsid w:val="000042D8"/>
    <w:rsid w:val="000116BD"/>
    <w:rsid w:val="000221AA"/>
    <w:rsid w:val="000224F2"/>
    <w:rsid w:val="00033409"/>
    <w:rsid w:val="00034A17"/>
    <w:rsid w:val="0003630C"/>
    <w:rsid w:val="00041360"/>
    <w:rsid w:val="00041FC2"/>
    <w:rsid w:val="00041FC4"/>
    <w:rsid w:val="00045F6E"/>
    <w:rsid w:val="00052355"/>
    <w:rsid w:val="000537C6"/>
    <w:rsid w:val="000650E3"/>
    <w:rsid w:val="000654B9"/>
    <w:rsid w:val="0007498E"/>
    <w:rsid w:val="00090654"/>
    <w:rsid w:val="00091B7B"/>
    <w:rsid w:val="000A0C66"/>
    <w:rsid w:val="000B586A"/>
    <w:rsid w:val="000B5A1C"/>
    <w:rsid w:val="000C107F"/>
    <w:rsid w:val="000C7DCD"/>
    <w:rsid w:val="000D09E4"/>
    <w:rsid w:val="000D0C29"/>
    <w:rsid w:val="000D47FB"/>
    <w:rsid w:val="000E1FFB"/>
    <w:rsid w:val="000E6998"/>
    <w:rsid w:val="000E799A"/>
    <w:rsid w:val="000F3B2B"/>
    <w:rsid w:val="00104E70"/>
    <w:rsid w:val="0010705E"/>
    <w:rsid w:val="00107773"/>
    <w:rsid w:val="00111472"/>
    <w:rsid w:val="00112F3A"/>
    <w:rsid w:val="001168A2"/>
    <w:rsid w:val="001351C7"/>
    <w:rsid w:val="00135CC7"/>
    <w:rsid w:val="001363BD"/>
    <w:rsid w:val="00137D60"/>
    <w:rsid w:val="0014265C"/>
    <w:rsid w:val="00145B0E"/>
    <w:rsid w:val="00147688"/>
    <w:rsid w:val="00150B66"/>
    <w:rsid w:val="0015215E"/>
    <w:rsid w:val="001571F9"/>
    <w:rsid w:val="001603BF"/>
    <w:rsid w:val="00160810"/>
    <w:rsid w:val="001665C1"/>
    <w:rsid w:val="001700E6"/>
    <w:rsid w:val="001724A2"/>
    <w:rsid w:val="00175CA1"/>
    <w:rsid w:val="00180232"/>
    <w:rsid w:val="00186CDB"/>
    <w:rsid w:val="00192738"/>
    <w:rsid w:val="001931EA"/>
    <w:rsid w:val="0019476F"/>
    <w:rsid w:val="00197E5D"/>
    <w:rsid w:val="001A5C27"/>
    <w:rsid w:val="001A765F"/>
    <w:rsid w:val="001A76B7"/>
    <w:rsid w:val="001B6DD5"/>
    <w:rsid w:val="001B7364"/>
    <w:rsid w:val="001C1421"/>
    <w:rsid w:val="001C2CBB"/>
    <w:rsid w:val="001C3A28"/>
    <w:rsid w:val="001C6725"/>
    <w:rsid w:val="001D49FB"/>
    <w:rsid w:val="001E0569"/>
    <w:rsid w:val="001E5B91"/>
    <w:rsid w:val="00202466"/>
    <w:rsid w:val="00202DD4"/>
    <w:rsid w:val="00217467"/>
    <w:rsid w:val="0021784A"/>
    <w:rsid w:val="0021793F"/>
    <w:rsid w:val="00217C20"/>
    <w:rsid w:val="00220D4F"/>
    <w:rsid w:val="00221DD6"/>
    <w:rsid w:val="002356DE"/>
    <w:rsid w:val="002421C2"/>
    <w:rsid w:val="002457F0"/>
    <w:rsid w:val="00247236"/>
    <w:rsid w:val="002503AC"/>
    <w:rsid w:val="002507AD"/>
    <w:rsid w:val="00251C71"/>
    <w:rsid w:val="002529DD"/>
    <w:rsid w:val="00260CE0"/>
    <w:rsid w:val="0026423D"/>
    <w:rsid w:val="00275A2B"/>
    <w:rsid w:val="002825D7"/>
    <w:rsid w:val="00283891"/>
    <w:rsid w:val="00284B85"/>
    <w:rsid w:val="00286B1B"/>
    <w:rsid w:val="00297B69"/>
    <w:rsid w:val="002A0D9D"/>
    <w:rsid w:val="002A3BA9"/>
    <w:rsid w:val="002A403F"/>
    <w:rsid w:val="002A6724"/>
    <w:rsid w:val="002B0F02"/>
    <w:rsid w:val="002B24E5"/>
    <w:rsid w:val="002B6689"/>
    <w:rsid w:val="002C0DEE"/>
    <w:rsid w:val="002D0916"/>
    <w:rsid w:val="002D1236"/>
    <w:rsid w:val="002D6993"/>
    <w:rsid w:val="002E02E7"/>
    <w:rsid w:val="002E30CB"/>
    <w:rsid w:val="002E353E"/>
    <w:rsid w:val="002E4A00"/>
    <w:rsid w:val="002F4C00"/>
    <w:rsid w:val="002F5188"/>
    <w:rsid w:val="002F5C6B"/>
    <w:rsid w:val="002F72E1"/>
    <w:rsid w:val="00303240"/>
    <w:rsid w:val="00303B31"/>
    <w:rsid w:val="0030617A"/>
    <w:rsid w:val="00307BD5"/>
    <w:rsid w:val="00312745"/>
    <w:rsid w:val="00313634"/>
    <w:rsid w:val="00313998"/>
    <w:rsid w:val="00320E4E"/>
    <w:rsid w:val="003211B8"/>
    <w:rsid w:val="00321CDB"/>
    <w:rsid w:val="003254D8"/>
    <w:rsid w:val="003315B9"/>
    <w:rsid w:val="00341CD3"/>
    <w:rsid w:val="00342389"/>
    <w:rsid w:val="00343492"/>
    <w:rsid w:val="003440E9"/>
    <w:rsid w:val="00356486"/>
    <w:rsid w:val="00361DF7"/>
    <w:rsid w:val="003623E2"/>
    <w:rsid w:val="0036279D"/>
    <w:rsid w:val="00362E43"/>
    <w:rsid w:val="00362ECB"/>
    <w:rsid w:val="00373190"/>
    <w:rsid w:val="00373BBE"/>
    <w:rsid w:val="00376325"/>
    <w:rsid w:val="00381730"/>
    <w:rsid w:val="00386B27"/>
    <w:rsid w:val="00387EF1"/>
    <w:rsid w:val="0039035F"/>
    <w:rsid w:val="00390807"/>
    <w:rsid w:val="00391872"/>
    <w:rsid w:val="003A1E8C"/>
    <w:rsid w:val="003A234A"/>
    <w:rsid w:val="003A30E0"/>
    <w:rsid w:val="003A3DDE"/>
    <w:rsid w:val="003A7EC0"/>
    <w:rsid w:val="003B3FFF"/>
    <w:rsid w:val="003B49BF"/>
    <w:rsid w:val="003B4E2E"/>
    <w:rsid w:val="003D0BD2"/>
    <w:rsid w:val="003D287E"/>
    <w:rsid w:val="003D61B2"/>
    <w:rsid w:val="003E0F50"/>
    <w:rsid w:val="003E3E66"/>
    <w:rsid w:val="003F3E07"/>
    <w:rsid w:val="00402908"/>
    <w:rsid w:val="00406F2E"/>
    <w:rsid w:val="0041006A"/>
    <w:rsid w:val="004144B5"/>
    <w:rsid w:val="00415102"/>
    <w:rsid w:val="0041554D"/>
    <w:rsid w:val="00417BB0"/>
    <w:rsid w:val="004232F1"/>
    <w:rsid w:val="004242F1"/>
    <w:rsid w:val="004271E2"/>
    <w:rsid w:val="00435BD7"/>
    <w:rsid w:val="004560B9"/>
    <w:rsid w:val="0046445E"/>
    <w:rsid w:val="00464A72"/>
    <w:rsid w:val="00467A5A"/>
    <w:rsid w:val="00477F20"/>
    <w:rsid w:val="004805F0"/>
    <w:rsid w:val="0048067B"/>
    <w:rsid w:val="00483DC1"/>
    <w:rsid w:val="00490B29"/>
    <w:rsid w:val="00493624"/>
    <w:rsid w:val="00495174"/>
    <w:rsid w:val="00495807"/>
    <w:rsid w:val="004A2EE3"/>
    <w:rsid w:val="004A4145"/>
    <w:rsid w:val="004A46C3"/>
    <w:rsid w:val="004A51F6"/>
    <w:rsid w:val="004A6270"/>
    <w:rsid w:val="004A6DB7"/>
    <w:rsid w:val="004A777F"/>
    <w:rsid w:val="004B16AC"/>
    <w:rsid w:val="004B50E7"/>
    <w:rsid w:val="004B7442"/>
    <w:rsid w:val="004B7EAB"/>
    <w:rsid w:val="004C0BAB"/>
    <w:rsid w:val="004C240F"/>
    <w:rsid w:val="004C7A45"/>
    <w:rsid w:val="004D1DBA"/>
    <w:rsid w:val="004D610F"/>
    <w:rsid w:val="004F0ACA"/>
    <w:rsid w:val="004F282E"/>
    <w:rsid w:val="004F64AD"/>
    <w:rsid w:val="004F7A08"/>
    <w:rsid w:val="004F7B41"/>
    <w:rsid w:val="00502513"/>
    <w:rsid w:val="00503957"/>
    <w:rsid w:val="0050794D"/>
    <w:rsid w:val="0051117E"/>
    <w:rsid w:val="005131A8"/>
    <w:rsid w:val="005140B3"/>
    <w:rsid w:val="00514A9E"/>
    <w:rsid w:val="00517C09"/>
    <w:rsid w:val="005201A0"/>
    <w:rsid w:val="0052152B"/>
    <w:rsid w:val="00526770"/>
    <w:rsid w:val="005368D1"/>
    <w:rsid w:val="00536D60"/>
    <w:rsid w:val="00537892"/>
    <w:rsid w:val="00540300"/>
    <w:rsid w:val="005415DF"/>
    <w:rsid w:val="0055413C"/>
    <w:rsid w:val="00560453"/>
    <w:rsid w:val="00561C58"/>
    <w:rsid w:val="00562B3C"/>
    <w:rsid w:val="0056696A"/>
    <w:rsid w:val="00574122"/>
    <w:rsid w:val="0058045F"/>
    <w:rsid w:val="00584740"/>
    <w:rsid w:val="005854E7"/>
    <w:rsid w:val="005922EB"/>
    <w:rsid w:val="005942DD"/>
    <w:rsid w:val="00597F90"/>
    <w:rsid w:val="005A0B2A"/>
    <w:rsid w:val="005A40D0"/>
    <w:rsid w:val="005A4428"/>
    <w:rsid w:val="005A69F9"/>
    <w:rsid w:val="005A7BBB"/>
    <w:rsid w:val="005B24C5"/>
    <w:rsid w:val="005B2C50"/>
    <w:rsid w:val="005B3266"/>
    <w:rsid w:val="005B4E3A"/>
    <w:rsid w:val="005B7365"/>
    <w:rsid w:val="005C040F"/>
    <w:rsid w:val="005C25C0"/>
    <w:rsid w:val="005C292C"/>
    <w:rsid w:val="005C3890"/>
    <w:rsid w:val="005C6112"/>
    <w:rsid w:val="005C630C"/>
    <w:rsid w:val="005C6FBE"/>
    <w:rsid w:val="005D0D2B"/>
    <w:rsid w:val="005D2748"/>
    <w:rsid w:val="005E5ADB"/>
    <w:rsid w:val="005E5F68"/>
    <w:rsid w:val="005E72E6"/>
    <w:rsid w:val="005F042D"/>
    <w:rsid w:val="005F04DA"/>
    <w:rsid w:val="005F10B0"/>
    <w:rsid w:val="005F5B7E"/>
    <w:rsid w:val="005F6D2A"/>
    <w:rsid w:val="005F6FE4"/>
    <w:rsid w:val="005F7C0F"/>
    <w:rsid w:val="0060281E"/>
    <w:rsid w:val="0060746E"/>
    <w:rsid w:val="00607C7F"/>
    <w:rsid w:val="00612F26"/>
    <w:rsid w:val="00614CFB"/>
    <w:rsid w:val="00625FF7"/>
    <w:rsid w:val="0063134B"/>
    <w:rsid w:val="00631F3B"/>
    <w:rsid w:val="00634FFB"/>
    <w:rsid w:val="00640003"/>
    <w:rsid w:val="00640C38"/>
    <w:rsid w:val="00643713"/>
    <w:rsid w:val="00646E24"/>
    <w:rsid w:val="00647D9B"/>
    <w:rsid w:val="0065123C"/>
    <w:rsid w:val="0065696F"/>
    <w:rsid w:val="00657C14"/>
    <w:rsid w:val="006600DB"/>
    <w:rsid w:val="006608A7"/>
    <w:rsid w:val="00660E1B"/>
    <w:rsid w:val="00664E7B"/>
    <w:rsid w:val="006734F1"/>
    <w:rsid w:val="006752A4"/>
    <w:rsid w:val="00675F95"/>
    <w:rsid w:val="0068120A"/>
    <w:rsid w:val="00681D9A"/>
    <w:rsid w:val="00687835"/>
    <w:rsid w:val="00693374"/>
    <w:rsid w:val="006A1E55"/>
    <w:rsid w:val="006A3024"/>
    <w:rsid w:val="006A306D"/>
    <w:rsid w:val="006B292B"/>
    <w:rsid w:val="006B56A3"/>
    <w:rsid w:val="006C2133"/>
    <w:rsid w:val="006C5A66"/>
    <w:rsid w:val="006D6235"/>
    <w:rsid w:val="006D77F4"/>
    <w:rsid w:val="006E149E"/>
    <w:rsid w:val="006E1790"/>
    <w:rsid w:val="006E6E7D"/>
    <w:rsid w:val="006E7DF6"/>
    <w:rsid w:val="006F12DB"/>
    <w:rsid w:val="006F3787"/>
    <w:rsid w:val="00707BC3"/>
    <w:rsid w:val="00707E39"/>
    <w:rsid w:val="007100B3"/>
    <w:rsid w:val="007107F6"/>
    <w:rsid w:val="00710FD5"/>
    <w:rsid w:val="00711CBE"/>
    <w:rsid w:val="007166D5"/>
    <w:rsid w:val="007172C0"/>
    <w:rsid w:val="0071794F"/>
    <w:rsid w:val="0073068E"/>
    <w:rsid w:val="00732248"/>
    <w:rsid w:val="0073496C"/>
    <w:rsid w:val="0073541F"/>
    <w:rsid w:val="00746E99"/>
    <w:rsid w:val="00746EFA"/>
    <w:rsid w:val="0074703F"/>
    <w:rsid w:val="00747465"/>
    <w:rsid w:val="0075379E"/>
    <w:rsid w:val="00756A92"/>
    <w:rsid w:val="00756C75"/>
    <w:rsid w:val="007572CB"/>
    <w:rsid w:val="007650A3"/>
    <w:rsid w:val="00765B1E"/>
    <w:rsid w:val="00767179"/>
    <w:rsid w:val="0076736D"/>
    <w:rsid w:val="007701D1"/>
    <w:rsid w:val="007702EA"/>
    <w:rsid w:val="00771608"/>
    <w:rsid w:val="00790BD4"/>
    <w:rsid w:val="00792D92"/>
    <w:rsid w:val="007941CD"/>
    <w:rsid w:val="007976CE"/>
    <w:rsid w:val="007A0F54"/>
    <w:rsid w:val="007A1203"/>
    <w:rsid w:val="007A4311"/>
    <w:rsid w:val="007B270F"/>
    <w:rsid w:val="007B4FEB"/>
    <w:rsid w:val="007C5114"/>
    <w:rsid w:val="007C6FC2"/>
    <w:rsid w:val="007D43C5"/>
    <w:rsid w:val="007D45A2"/>
    <w:rsid w:val="007D64D6"/>
    <w:rsid w:val="007D7281"/>
    <w:rsid w:val="007E1294"/>
    <w:rsid w:val="007E4D60"/>
    <w:rsid w:val="007F04BE"/>
    <w:rsid w:val="007F5C8D"/>
    <w:rsid w:val="00800BDE"/>
    <w:rsid w:val="00803A4E"/>
    <w:rsid w:val="00803C5E"/>
    <w:rsid w:val="00804B45"/>
    <w:rsid w:val="00806B7B"/>
    <w:rsid w:val="00810C7A"/>
    <w:rsid w:val="0081157D"/>
    <w:rsid w:val="00811609"/>
    <w:rsid w:val="00812447"/>
    <w:rsid w:val="00822968"/>
    <w:rsid w:val="00826DC5"/>
    <w:rsid w:val="0083061D"/>
    <w:rsid w:val="00830E42"/>
    <w:rsid w:val="00831798"/>
    <w:rsid w:val="008339D4"/>
    <w:rsid w:val="00835330"/>
    <w:rsid w:val="008369C9"/>
    <w:rsid w:val="008402D5"/>
    <w:rsid w:val="008444E7"/>
    <w:rsid w:val="00845997"/>
    <w:rsid w:val="008474CD"/>
    <w:rsid w:val="00851EF1"/>
    <w:rsid w:val="00852A7E"/>
    <w:rsid w:val="00852EA0"/>
    <w:rsid w:val="008561FF"/>
    <w:rsid w:val="00856DA3"/>
    <w:rsid w:val="008660EF"/>
    <w:rsid w:val="008711A8"/>
    <w:rsid w:val="00871ADC"/>
    <w:rsid w:val="00873357"/>
    <w:rsid w:val="00873B63"/>
    <w:rsid w:val="00876CB5"/>
    <w:rsid w:val="0088715C"/>
    <w:rsid w:val="00894341"/>
    <w:rsid w:val="008A3222"/>
    <w:rsid w:val="008B2001"/>
    <w:rsid w:val="008B2DE3"/>
    <w:rsid w:val="008B5CF3"/>
    <w:rsid w:val="008B6E43"/>
    <w:rsid w:val="008C18C1"/>
    <w:rsid w:val="008C19BF"/>
    <w:rsid w:val="008C6549"/>
    <w:rsid w:val="008D1D4B"/>
    <w:rsid w:val="008D326E"/>
    <w:rsid w:val="008F346E"/>
    <w:rsid w:val="008F5DD9"/>
    <w:rsid w:val="008F6233"/>
    <w:rsid w:val="008F64B2"/>
    <w:rsid w:val="008F6A71"/>
    <w:rsid w:val="008F774A"/>
    <w:rsid w:val="008F78C6"/>
    <w:rsid w:val="00903D17"/>
    <w:rsid w:val="00904D98"/>
    <w:rsid w:val="0091071E"/>
    <w:rsid w:val="00911F78"/>
    <w:rsid w:val="009120B8"/>
    <w:rsid w:val="00920819"/>
    <w:rsid w:val="009217FD"/>
    <w:rsid w:val="0092336B"/>
    <w:rsid w:val="0093596C"/>
    <w:rsid w:val="009362B0"/>
    <w:rsid w:val="00936C0C"/>
    <w:rsid w:val="00941984"/>
    <w:rsid w:val="00951E56"/>
    <w:rsid w:val="00955F24"/>
    <w:rsid w:val="0096020C"/>
    <w:rsid w:val="009708B9"/>
    <w:rsid w:val="00974BBC"/>
    <w:rsid w:val="00975870"/>
    <w:rsid w:val="00977DE2"/>
    <w:rsid w:val="00981EAC"/>
    <w:rsid w:val="00985E2C"/>
    <w:rsid w:val="00985F83"/>
    <w:rsid w:val="00986605"/>
    <w:rsid w:val="009872ED"/>
    <w:rsid w:val="00994FE9"/>
    <w:rsid w:val="00996417"/>
    <w:rsid w:val="009A367B"/>
    <w:rsid w:val="009A4636"/>
    <w:rsid w:val="009A5582"/>
    <w:rsid w:val="009C2BB6"/>
    <w:rsid w:val="009C36B6"/>
    <w:rsid w:val="009C5279"/>
    <w:rsid w:val="009C5AAC"/>
    <w:rsid w:val="009C6275"/>
    <w:rsid w:val="009D2B19"/>
    <w:rsid w:val="009D329E"/>
    <w:rsid w:val="009D5FBD"/>
    <w:rsid w:val="009D6E2F"/>
    <w:rsid w:val="009D6E5D"/>
    <w:rsid w:val="009D7649"/>
    <w:rsid w:val="009E0048"/>
    <w:rsid w:val="009E0792"/>
    <w:rsid w:val="009E3B16"/>
    <w:rsid w:val="009F075D"/>
    <w:rsid w:val="009F10D8"/>
    <w:rsid w:val="009F1F17"/>
    <w:rsid w:val="009F250B"/>
    <w:rsid w:val="009F4A59"/>
    <w:rsid w:val="009F5E31"/>
    <w:rsid w:val="00A00981"/>
    <w:rsid w:val="00A03F63"/>
    <w:rsid w:val="00A079D3"/>
    <w:rsid w:val="00A100D8"/>
    <w:rsid w:val="00A13F67"/>
    <w:rsid w:val="00A150A7"/>
    <w:rsid w:val="00A3054A"/>
    <w:rsid w:val="00A30E14"/>
    <w:rsid w:val="00A35A4B"/>
    <w:rsid w:val="00A37ABF"/>
    <w:rsid w:val="00A37F76"/>
    <w:rsid w:val="00A43D8B"/>
    <w:rsid w:val="00A52544"/>
    <w:rsid w:val="00A53F90"/>
    <w:rsid w:val="00A56193"/>
    <w:rsid w:val="00A60F15"/>
    <w:rsid w:val="00A73DF3"/>
    <w:rsid w:val="00A7558D"/>
    <w:rsid w:val="00A818E0"/>
    <w:rsid w:val="00A826B9"/>
    <w:rsid w:val="00A94CBA"/>
    <w:rsid w:val="00AA200C"/>
    <w:rsid w:val="00AA3139"/>
    <w:rsid w:val="00AA3562"/>
    <w:rsid w:val="00AA4634"/>
    <w:rsid w:val="00AA70D3"/>
    <w:rsid w:val="00AB19A1"/>
    <w:rsid w:val="00AC25D2"/>
    <w:rsid w:val="00AC3FC9"/>
    <w:rsid w:val="00AC5DE7"/>
    <w:rsid w:val="00AD1AFA"/>
    <w:rsid w:val="00AD315E"/>
    <w:rsid w:val="00AD52C0"/>
    <w:rsid w:val="00AD6B1E"/>
    <w:rsid w:val="00AE0F40"/>
    <w:rsid w:val="00AE26B6"/>
    <w:rsid w:val="00AE3C8C"/>
    <w:rsid w:val="00AE5080"/>
    <w:rsid w:val="00AE5E17"/>
    <w:rsid w:val="00AF57E8"/>
    <w:rsid w:val="00B0073D"/>
    <w:rsid w:val="00B05335"/>
    <w:rsid w:val="00B11016"/>
    <w:rsid w:val="00B115A1"/>
    <w:rsid w:val="00B1366D"/>
    <w:rsid w:val="00B16448"/>
    <w:rsid w:val="00B2678E"/>
    <w:rsid w:val="00B3102E"/>
    <w:rsid w:val="00B32D83"/>
    <w:rsid w:val="00B3424C"/>
    <w:rsid w:val="00B34822"/>
    <w:rsid w:val="00B378BB"/>
    <w:rsid w:val="00B41B81"/>
    <w:rsid w:val="00B4741B"/>
    <w:rsid w:val="00B47A56"/>
    <w:rsid w:val="00B5003A"/>
    <w:rsid w:val="00B51515"/>
    <w:rsid w:val="00B521EC"/>
    <w:rsid w:val="00B545C6"/>
    <w:rsid w:val="00B54B5B"/>
    <w:rsid w:val="00B61D9B"/>
    <w:rsid w:val="00B65223"/>
    <w:rsid w:val="00B6558A"/>
    <w:rsid w:val="00B85CBF"/>
    <w:rsid w:val="00B92245"/>
    <w:rsid w:val="00B92EF3"/>
    <w:rsid w:val="00B936AF"/>
    <w:rsid w:val="00B978FC"/>
    <w:rsid w:val="00BA0C8F"/>
    <w:rsid w:val="00BA1165"/>
    <w:rsid w:val="00BA2870"/>
    <w:rsid w:val="00BA6D5A"/>
    <w:rsid w:val="00BA7442"/>
    <w:rsid w:val="00BB5A4F"/>
    <w:rsid w:val="00BB6914"/>
    <w:rsid w:val="00BC75E6"/>
    <w:rsid w:val="00BD137B"/>
    <w:rsid w:val="00BD2575"/>
    <w:rsid w:val="00BD5891"/>
    <w:rsid w:val="00BE503D"/>
    <w:rsid w:val="00BE7CAF"/>
    <w:rsid w:val="00BF1E95"/>
    <w:rsid w:val="00BF39AE"/>
    <w:rsid w:val="00BF6921"/>
    <w:rsid w:val="00BF6CFC"/>
    <w:rsid w:val="00C04AC6"/>
    <w:rsid w:val="00C0783D"/>
    <w:rsid w:val="00C15CF5"/>
    <w:rsid w:val="00C16F38"/>
    <w:rsid w:val="00C17183"/>
    <w:rsid w:val="00C21BA7"/>
    <w:rsid w:val="00C25792"/>
    <w:rsid w:val="00C33931"/>
    <w:rsid w:val="00C41CC2"/>
    <w:rsid w:val="00C4569E"/>
    <w:rsid w:val="00C51241"/>
    <w:rsid w:val="00C546B3"/>
    <w:rsid w:val="00C54865"/>
    <w:rsid w:val="00C61D10"/>
    <w:rsid w:val="00C7173B"/>
    <w:rsid w:val="00C725FA"/>
    <w:rsid w:val="00C82B7E"/>
    <w:rsid w:val="00C83420"/>
    <w:rsid w:val="00C9114D"/>
    <w:rsid w:val="00C92294"/>
    <w:rsid w:val="00C93F29"/>
    <w:rsid w:val="00CA0ADE"/>
    <w:rsid w:val="00CA2AF1"/>
    <w:rsid w:val="00CA57F1"/>
    <w:rsid w:val="00CA7E58"/>
    <w:rsid w:val="00CB1040"/>
    <w:rsid w:val="00CB610D"/>
    <w:rsid w:val="00CB6410"/>
    <w:rsid w:val="00CB6C63"/>
    <w:rsid w:val="00CC0F2F"/>
    <w:rsid w:val="00CC13C1"/>
    <w:rsid w:val="00CC15BF"/>
    <w:rsid w:val="00CC38BC"/>
    <w:rsid w:val="00CC6D4F"/>
    <w:rsid w:val="00CD36AA"/>
    <w:rsid w:val="00CD6D6C"/>
    <w:rsid w:val="00CD7C42"/>
    <w:rsid w:val="00CE1989"/>
    <w:rsid w:val="00CE1DA2"/>
    <w:rsid w:val="00CF309A"/>
    <w:rsid w:val="00D0491D"/>
    <w:rsid w:val="00D06E6D"/>
    <w:rsid w:val="00D1010D"/>
    <w:rsid w:val="00D12D69"/>
    <w:rsid w:val="00D13510"/>
    <w:rsid w:val="00D14F82"/>
    <w:rsid w:val="00D16AAF"/>
    <w:rsid w:val="00D2299E"/>
    <w:rsid w:val="00D26619"/>
    <w:rsid w:val="00D319FF"/>
    <w:rsid w:val="00D355C3"/>
    <w:rsid w:val="00D4380D"/>
    <w:rsid w:val="00D502F1"/>
    <w:rsid w:val="00D57E2E"/>
    <w:rsid w:val="00D606F8"/>
    <w:rsid w:val="00D60995"/>
    <w:rsid w:val="00D736A8"/>
    <w:rsid w:val="00D76D7E"/>
    <w:rsid w:val="00D808B6"/>
    <w:rsid w:val="00D86288"/>
    <w:rsid w:val="00D87274"/>
    <w:rsid w:val="00D92A33"/>
    <w:rsid w:val="00D93956"/>
    <w:rsid w:val="00DA589F"/>
    <w:rsid w:val="00DA7A14"/>
    <w:rsid w:val="00DB04D3"/>
    <w:rsid w:val="00DB0D2C"/>
    <w:rsid w:val="00DB1AFD"/>
    <w:rsid w:val="00DB2D89"/>
    <w:rsid w:val="00DB5844"/>
    <w:rsid w:val="00DC055C"/>
    <w:rsid w:val="00DC11FC"/>
    <w:rsid w:val="00DC23A6"/>
    <w:rsid w:val="00DC43BF"/>
    <w:rsid w:val="00DD0259"/>
    <w:rsid w:val="00DD752B"/>
    <w:rsid w:val="00DE0B97"/>
    <w:rsid w:val="00DE1207"/>
    <w:rsid w:val="00DE3115"/>
    <w:rsid w:val="00DE3FCF"/>
    <w:rsid w:val="00DE7516"/>
    <w:rsid w:val="00DF324B"/>
    <w:rsid w:val="00E07E19"/>
    <w:rsid w:val="00E114DF"/>
    <w:rsid w:val="00E121CB"/>
    <w:rsid w:val="00E16DB5"/>
    <w:rsid w:val="00E234F7"/>
    <w:rsid w:val="00E259F5"/>
    <w:rsid w:val="00E31927"/>
    <w:rsid w:val="00E323CA"/>
    <w:rsid w:val="00E351BD"/>
    <w:rsid w:val="00E35ED6"/>
    <w:rsid w:val="00E3625B"/>
    <w:rsid w:val="00E372E7"/>
    <w:rsid w:val="00E40325"/>
    <w:rsid w:val="00E43744"/>
    <w:rsid w:val="00E45965"/>
    <w:rsid w:val="00E47685"/>
    <w:rsid w:val="00E52EA0"/>
    <w:rsid w:val="00E54E65"/>
    <w:rsid w:val="00E557A6"/>
    <w:rsid w:val="00E60DE4"/>
    <w:rsid w:val="00E618F9"/>
    <w:rsid w:val="00E61B92"/>
    <w:rsid w:val="00E61EEE"/>
    <w:rsid w:val="00E709DA"/>
    <w:rsid w:val="00E74D18"/>
    <w:rsid w:val="00E76460"/>
    <w:rsid w:val="00E77D28"/>
    <w:rsid w:val="00E81B49"/>
    <w:rsid w:val="00E87098"/>
    <w:rsid w:val="00E947F4"/>
    <w:rsid w:val="00E94966"/>
    <w:rsid w:val="00EA1DBA"/>
    <w:rsid w:val="00EA4A5A"/>
    <w:rsid w:val="00EA686B"/>
    <w:rsid w:val="00EA7456"/>
    <w:rsid w:val="00EA7896"/>
    <w:rsid w:val="00EB7BB3"/>
    <w:rsid w:val="00EC1E8B"/>
    <w:rsid w:val="00ED06AD"/>
    <w:rsid w:val="00ED32E0"/>
    <w:rsid w:val="00ED3984"/>
    <w:rsid w:val="00ED4A59"/>
    <w:rsid w:val="00ED751F"/>
    <w:rsid w:val="00EE6E42"/>
    <w:rsid w:val="00EE7ECC"/>
    <w:rsid w:val="00EF336F"/>
    <w:rsid w:val="00F007A8"/>
    <w:rsid w:val="00F04F0C"/>
    <w:rsid w:val="00F055A0"/>
    <w:rsid w:val="00F074E5"/>
    <w:rsid w:val="00F11463"/>
    <w:rsid w:val="00F15E47"/>
    <w:rsid w:val="00F21701"/>
    <w:rsid w:val="00F217C8"/>
    <w:rsid w:val="00F266E4"/>
    <w:rsid w:val="00F27C78"/>
    <w:rsid w:val="00F3248B"/>
    <w:rsid w:val="00F350B9"/>
    <w:rsid w:val="00F3583A"/>
    <w:rsid w:val="00F3788E"/>
    <w:rsid w:val="00F40A74"/>
    <w:rsid w:val="00F41F51"/>
    <w:rsid w:val="00F45B8F"/>
    <w:rsid w:val="00F53136"/>
    <w:rsid w:val="00F55EC6"/>
    <w:rsid w:val="00F60AC6"/>
    <w:rsid w:val="00F61808"/>
    <w:rsid w:val="00F642EC"/>
    <w:rsid w:val="00F64356"/>
    <w:rsid w:val="00F72AF1"/>
    <w:rsid w:val="00F73633"/>
    <w:rsid w:val="00F74D41"/>
    <w:rsid w:val="00F758ED"/>
    <w:rsid w:val="00F801C1"/>
    <w:rsid w:val="00F85D26"/>
    <w:rsid w:val="00F9036D"/>
    <w:rsid w:val="00F91DAF"/>
    <w:rsid w:val="00F97440"/>
    <w:rsid w:val="00FA5459"/>
    <w:rsid w:val="00FB47BB"/>
    <w:rsid w:val="00FB4CFB"/>
    <w:rsid w:val="00FC3877"/>
    <w:rsid w:val="00FC50CA"/>
    <w:rsid w:val="00FC5798"/>
    <w:rsid w:val="00FC71CF"/>
    <w:rsid w:val="00FD0EE0"/>
    <w:rsid w:val="00FD3732"/>
    <w:rsid w:val="00FE10DB"/>
    <w:rsid w:val="00FF6ED8"/>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77C3"/>
  <w15:chartTrackingRefBased/>
  <w15:docId w15:val="{292FD4CD-C5AB-4889-BF3D-3C9A8C97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7A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C7173B"/>
    <w:rPr>
      <w:sz w:val="20"/>
    </w:rPr>
  </w:style>
  <w:style w:type="character" w:customStyle="1" w:styleId="FootnoteTextChar">
    <w:name w:val="Footnote Text Char"/>
    <w:basedOn w:val="DefaultParagraphFont"/>
    <w:link w:val="FootnoteText1"/>
    <w:uiPriority w:val="99"/>
    <w:semiHidden/>
    <w:rsid w:val="00C7173B"/>
    <w:rPr>
      <w:sz w:val="20"/>
    </w:rPr>
  </w:style>
  <w:style w:type="character" w:styleId="FootnoteReference">
    <w:name w:val="footnote reference"/>
    <w:basedOn w:val="DefaultParagraphFont"/>
    <w:uiPriority w:val="99"/>
    <w:semiHidden/>
    <w:unhideWhenUsed/>
    <w:rsid w:val="00C7173B"/>
    <w:rPr>
      <w:vertAlign w:val="superscript"/>
    </w:rPr>
  </w:style>
  <w:style w:type="paragraph" w:customStyle="1" w:styleId="Header1">
    <w:name w:val="Header1"/>
    <w:basedOn w:val="Normal"/>
    <w:next w:val="Header"/>
    <w:link w:val="HeaderChar"/>
    <w:uiPriority w:val="99"/>
    <w:unhideWhenUsed/>
    <w:rsid w:val="00C7173B"/>
    <w:pPr>
      <w:tabs>
        <w:tab w:val="center" w:pos="4680"/>
        <w:tab w:val="right" w:pos="9360"/>
      </w:tabs>
    </w:pPr>
  </w:style>
  <w:style w:type="character" w:customStyle="1" w:styleId="HeaderChar">
    <w:name w:val="Header Char"/>
    <w:basedOn w:val="DefaultParagraphFont"/>
    <w:link w:val="Header1"/>
    <w:uiPriority w:val="99"/>
    <w:rsid w:val="00C7173B"/>
  </w:style>
  <w:style w:type="paragraph" w:customStyle="1" w:styleId="Footer1">
    <w:name w:val="Footer1"/>
    <w:basedOn w:val="Normal"/>
    <w:next w:val="Footer"/>
    <w:link w:val="FooterChar"/>
    <w:uiPriority w:val="99"/>
    <w:unhideWhenUsed/>
    <w:rsid w:val="00C7173B"/>
    <w:pPr>
      <w:tabs>
        <w:tab w:val="center" w:pos="4680"/>
        <w:tab w:val="right" w:pos="9360"/>
      </w:tabs>
    </w:pPr>
  </w:style>
  <w:style w:type="character" w:customStyle="1" w:styleId="FooterChar">
    <w:name w:val="Footer Char"/>
    <w:basedOn w:val="DefaultParagraphFont"/>
    <w:link w:val="Footer1"/>
    <w:uiPriority w:val="99"/>
    <w:rsid w:val="00C7173B"/>
  </w:style>
  <w:style w:type="character" w:customStyle="1" w:styleId="Hyperlink1">
    <w:name w:val="Hyperlink1"/>
    <w:basedOn w:val="DefaultParagraphFont"/>
    <w:uiPriority w:val="99"/>
    <w:unhideWhenUsed/>
    <w:rsid w:val="00C7173B"/>
    <w:rPr>
      <w:color w:val="0563C1"/>
      <w:u w:val="single"/>
    </w:rPr>
  </w:style>
  <w:style w:type="paragraph" w:styleId="FootnoteText">
    <w:name w:val="footnote text"/>
    <w:basedOn w:val="Normal"/>
    <w:link w:val="FootnoteTextChar1"/>
    <w:uiPriority w:val="99"/>
    <w:unhideWhenUsed/>
    <w:rsid w:val="00C7173B"/>
    <w:rPr>
      <w:sz w:val="20"/>
      <w:szCs w:val="20"/>
    </w:rPr>
  </w:style>
  <w:style w:type="character" w:customStyle="1" w:styleId="FootnoteTextChar1">
    <w:name w:val="Footnote Text Char1"/>
    <w:basedOn w:val="DefaultParagraphFont"/>
    <w:link w:val="FootnoteText"/>
    <w:uiPriority w:val="99"/>
    <w:rsid w:val="00C7173B"/>
    <w:rPr>
      <w:sz w:val="20"/>
      <w:szCs w:val="20"/>
    </w:rPr>
  </w:style>
  <w:style w:type="paragraph" w:styleId="Header">
    <w:name w:val="header"/>
    <w:basedOn w:val="Normal"/>
    <w:link w:val="HeaderChar1"/>
    <w:uiPriority w:val="99"/>
    <w:unhideWhenUsed/>
    <w:rsid w:val="00C7173B"/>
    <w:pPr>
      <w:tabs>
        <w:tab w:val="center" w:pos="4680"/>
        <w:tab w:val="right" w:pos="9360"/>
      </w:tabs>
    </w:pPr>
  </w:style>
  <w:style w:type="character" w:customStyle="1" w:styleId="HeaderChar1">
    <w:name w:val="Header Char1"/>
    <w:basedOn w:val="DefaultParagraphFont"/>
    <w:link w:val="Header"/>
    <w:uiPriority w:val="99"/>
    <w:rsid w:val="00C7173B"/>
  </w:style>
  <w:style w:type="paragraph" w:styleId="Footer">
    <w:name w:val="footer"/>
    <w:basedOn w:val="Normal"/>
    <w:link w:val="FooterChar1"/>
    <w:uiPriority w:val="99"/>
    <w:unhideWhenUsed/>
    <w:rsid w:val="00C7173B"/>
    <w:pPr>
      <w:tabs>
        <w:tab w:val="center" w:pos="4680"/>
        <w:tab w:val="right" w:pos="9360"/>
      </w:tabs>
    </w:pPr>
  </w:style>
  <w:style w:type="character" w:customStyle="1" w:styleId="FooterChar1">
    <w:name w:val="Footer Char1"/>
    <w:basedOn w:val="DefaultParagraphFont"/>
    <w:link w:val="Footer"/>
    <w:uiPriority w:val="99"/>
    <w:rsid w:val="00C7173B"/>
  </w:style>
  <w:style w:type="character" w:styleId="Hyperlink">
    <w:name w:val="Hyperlink"/>
    <w:basedOn w:val="DefaultParagraphFont"/>
    <w:uiPriority w:val="99"/>
    <w:unhideWhenUsed/>
    <w:rsid w:val="00C7173B"/>
    <w:rPr>
      <w:color w:val="0563C1" w:themeColor="hyperlink"/>
      <w:u w:val="single"/>
    </w:rPr>
  </w:style>
  <w:style w:type="paragraph" w:styleId="ListParagraph">
    <w:name w:val="List Paragraph"/>
    <w:basedOn w:val="Normal"/>
    <w:uiPriority w:val="34"/>
    <w:qFormat/>
    <w:rsid w:val="00A52544"/>
    <w:pPr>
      <w:spacing w:line="276" w:lineRule="auto"/>
      <w:ind w:left="720"/>
      <w:contextualSpacing/>
    </w:pPr>
    <w:rPr>
      <w:rFonts w:eastAsiaTheme="minorEastAsia" w:cs="Times New Roman"/>
      <w:szCs w:val="20"/>
      <w:lang w:eastAsia="ko-KR"/>
    </w:rPr>
  </w:style>
  <w:style w:type="character" w:styleId="CommentReference">
    <w:name w:val="annotation reference"/>
    <w:basedOn w:val="DefaultParagraphFont"/>
    <w:uiPriority w:val="99"/>
    <w:semiHidden/>
    <w:unhideWhenUsed/>
    <w:rsid w:val="0055413C"/>
    <w:rPr>
      <w:sz w:val="16"/>
      <w:szCs w:val="16"/>
    </w:rPr>
  </w:style>
  <w:style w:type="paragraph" w:styleId="CommentText">
    <w:name w:val="annotation text"/>
    <w:basedOn w:val="Normal"/>
    <w:link w:val="CommentTextChar"/>
    <w:uiPriority w:val="99"/>
    <w:unhideWhenUsed/>
    <w:rsid w:val="0055413C"/>
    <w:rPr>
      <w:sz w:val="20"/>
      <w:szCs w:val="20"/>
    </w:rPr>
  </w:style>
  <w:style w:type="character" w:customStyle="1" w:styleId="CommentTextChar">
    <w:name w:val="Comment Text Char"/>
    <w:basedOn w:val="DefaultParagraphFont"/>
    <w:link w:val="CommentText"/>
    <w:uiPriority w:val="99"/>
    <w:rsid w:val="0055413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413C"/>
    <w:rPr>
      <w:b/>
      <w:bCs/>
    </w:rPr>
  </w:style>
  <w:style w:type="character" w:customStyle="1" w:styleId="CommentSubjectChar">
    <w:name w:val="Comment Subject Char"/>
    <w:basedOn w:val="CommentTextChar"/>
    <w:link w:val="CommentSubject"/>
    <w:uiPriority w:val="99"/>
    <w:semiHidden/>
    <w:rsid w:val="0055413C"/>
    <w:rPr>
      <w:rFonts w:ascii="Times New Roman" w:hAnsi="Times New Roman"/>
      <w:b/>
      <w:bCs/>
      <w:sz w:val="20"/>
      <w:szCs w:val="20"/>
    </w:rPr>
  </w:style>
  <w:style w:type="paragraph" w:styleId="BalloonText">
    <w:name w:val="Balloon Text"/>
    <w:basedOn w:val="Normal"/>
    <w:link w:val="BalloonTextChar"/>
    <w:uiPriority w:val="99"/>
    <w:semiHidden/>
    <w:unhideWhenUsed/>
    <w:rsid w:val="005541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3C"/>
    <w:rPr>
      <w:rFonts w:ascii="Segoe UI" w:hAnsi="Segoe UI" w:cs="Segoe UI"/>
      <w:sz w:val="18"/>
      <w:szCs w:val="18"/>
    </w:rPr>
  </w:style>
  <w:style w:type="character" w:styleId="FollowedHyperlink">
    <w:name w:val="FollowedHyperlink"/>
    <w:basedOn w:val="DefaultParagraphFont"/>
    <w:uiPriority w:val="99"/>
    <w:semiHidden/>
    <w:unhideWhenUsed/>
    <w:rsid w:val="00DE0B97"/>
    <w:rPr>
      <w:color w:val="954F72" w:themeColor="followedHyperlink"/>
      <w:u w:val="single"/>
    </w:rPr>
  </w:style>
  <w:style w:type="paragraph" w:styleId="Revision">
    <w:name w:val="Revision"/>
    <w:hidden/>
    <w:uiPriority w:val="99"/>
    <w:semiHidden/>
    <w:rsid w:val="00090654"/>
    <w:rPr>
      <w:rFonts w:ascii="Times New Roman" w:hAnsi="Times New Roman"/>
    </w:rPr>
  </w:style>
  <w:style w:type="character" w:customStyle="1" w:styleId="UnresolvedMention1">
    <w:name w:val="Unresolved Mention1"/>
    <w:basedOn w:val="DefaultParagraphFont"/>
    <w:uiPriority w:val="99"/>
    <w:semiHidden/>
    <w:unhideWhenUsed/>
    <w:rsid w:val="004C7A45"/>
    <w:rPr>
      <w:color w:val="605E5C"/>
      <w:shd w:val="clear" w:color="auto" w:fill="E1DFDD"/>
    </w:rPr>
  </w:style>
  <w:style w:type="character" w:customStyle="1" w:styleId="UnresolvedMention2">
    <w:name w:val="Unresolved Mention2"/>
    <w:basedOn w:val="DefaultParagraphFont"/>
    <w:uiPriority w:val="99"/>
    <w:semiHidden/>
    <w:unhideWhenUsed/>
    <w:rsid w:val="002E30CB"/>
    <w:rPr>
      <w:color w:val="605E5C"/>
      <w:shd w:val="clear" w:color="auto" w:fill="E1DFDD"/>
    </w:rPr>
  </w:style>
  <w:style w:type="character" w:styleId="Strong">
    <w:name w:val="Strong"/>
    <w:basedOn w:val="DefaultParagraphFont"/>
    <w:uiPriority w:val="22"/>
    <w:qFormat/>
    <w:rsid w:val="00303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6979-A5ED-4122-9A8F-1E82753C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Shortell</cp:lastModifiedBy>
  <cp:revision>2</cp:revision>
  <cp:lastPrinted>2024-02-09T15:28:00Z</cp:lastPrinted>
  <dcterms:created xsi:type="dcterms:W3CDTF">2024-02-15T23:02:00Z</dcterms:created>
  <dcterms:modified xsi:type="dcterms:W3CDTF">2024-02-15T23:02:00Z</dcterms:modified>
</cp:coreProperties>
</file>