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AA02" w14:textId="5602EE57" w:rsidR="00485240" w:rsidRDefault="00485240" w:rsidP="003B0B56">
      <w:pPr>
        <w:rPr>
          <w:rFonts w:ascii="Calibri" w:hAnsi="Calibri" w:cs="Calibri"/>
          <w:sz w:val="24"/>
          <w:szCs w:val="24"/>
        </w:rPr>
      </w:pPr>
    </w:p>
    <w:p w14:paraId="497E558C" w14:textId="77777777" w:rsidR="00ED5E6A" w:rsidRDefault="00ED5E6A" w:rsidP="003B0B56">
      <w:pPr>
        <w:rPr>
          <w:rFonts w:ascii="Calibri" w:hAnsi="Calibri" w:cs="Calibri"/>
          <w:sz w:val="24"/>
          <w:szCs w:val="24"/>
        </w:rPr>
      </w:pPr>
    </w:p>
    <w:p w14:paraId="56431A04" w14:textId="777729A6" w:rsidR="00522498" w:rsidRDefault="003B0B56" w:rsidP="003B0B56">
      <w:pPr>
        <w:rPr>
          <w:rFonts w:ascii="Calibri" w:hAnsi="Calibri" w:cs="Calibri"/>
          <w:sz w:val="24"/>
          <w:szCs w:val="24"/>
        </w:rPr>
      </w:pPr>
      <w:r w:rsidRPr="003B0B56">
        <w:rPr>
          <w:rFonts w:ascii="Calibri" w:hAnsi="Calibri" w:cs="Calibri"/>
          <w:sz w:val="24"/>
          <w:szCs w:val="24"/>
        </w:rPr>
        <w:t>Feb</w:t>
      </w:r>
      <w:r>
        <w:rPr>
          <w:rFonts w:ascii="Calibri" w:hAnsi="Calibri" w:cs="Calibri"/>
          <w:sz w:val="24"/>
          <w:szCs w:val="24"/>
        </w:rPr>
        <w:t>ruary 16, 2024</w:t>
      </w:r>
    </w:p>
    <w:p w14:paraId="787BCCC3" w14:textId="406B600F" w:rsidR="003B0B56" w:rsidRDefault="003B0B56" w:rsidP="003B0B56">
      <w:pPr>
        <w:spacing w:after="0"/>
        <w:rPr>
          <w:rFonts w:ascii="Calibri" w:hAnsi="Calibri" w:cs="Calibri"/>
          <w:sz w:val="24"/>
          <w:szCs w:val="24"/>
        </w:rPr>
      </w:pPr>
      <w:r>
        <w:rPr>
          <w:rFonts w:ascii="Calibri" w:hAnsi="Calibri" w:cs="Calibri"/>
          <w:sz w:val="24"/>
          <w:szCs w:val="24"/>
        </w:rPr>
        <w:t>Mr. Christopher Kirkpatrick</w:t>
      </w:r>
    </w:p>
    <w:p w14:paraId="7250E5CE" w14:textId="150F35D7" w:rsidR="003B0B56" w:rsidRDefault="003B0B56" w:rsidP="003B0B56">
      <w:pPr>
        <w:spacing w:after="0"/>
        <w:rPr>
          <w:rFonts w:ascii="Calibri" w:hAnsi="Calibri" w:cs="Calibri"/>
          <w:sz w:val="24"/>
          <w:szCs w:val="24"/>
        </w:rPr>
      </w:pPr>
      <w:r>
        <w:rPr>
          <w:rFonts w:ascii="Calibri" w:hAnsi="Calibri" w:cs="Calibri"/>
          <w:sz w:val="24"/>
          <w:szCs w:val="24"/>
        </w:rPr>
        <w:t>Secretary</w:t>
      </w:r>
    </w:p>
    <w:p w14:paraId="4E476304" w14:textId="68F683E7" w:rsidR="003B0B56" w:rsidRDefault="003B0B56" w:rsidP="003B0B56">
      <w:pPr>
        <w:spacing w:after="0"/>
        <w:rPr>
          <w:rFonts w:ascii="Calibri" w:hAnsi="Calibri" w:cs="Calibri"/>
          <w:sz w:val="24"/>
          <w:szCs w:val="24"/>
        </w:rPr>
      </w:pPr>
      <w:r>
        <w:rPr>
          <w:rFonts w:ascii="Calibri" w:hAnsi="Calibri" w:cs="Calibri"/>
          <w:sz w:val="24"/>
          <w:szCs w:val="24"/>
        </w:rPr>
        <w:t>Three Lafayette Center</w:t>
      </w:r>
    </w:p>
    <w:p w14:paraId="542F1BB8" w14:textId="72AEE251" w:rsidR="003B0B56" w:rsidRDefault="003B0B56" w:rsidP="003B0B56">
      <w:pPr>
        <w:spacing w:after="0"/>
        <w:rPr>
          <w:rFonts w:ascii="Calibri" w:hAnsi="Calibri" w:cs="Calibri"/>
          <w:sz w:val="24"/>
          <w:szCs w:val="24"/>
        </w:rPr>
      </w:pPr>
      <w:r>
        <w:rPr>
          <w:rFonts w:ascii="Calibri" w:hAnsi="Calibri" w:cs="Calibri"/>
          <w:sz w:val="24"/>
          <w:szCs w:val="24"/>
        </w:rPr>
        <w:t>1155 21</w:t>
      </w:r>
      <w:r w:rsidRPr="003B0B56">
        <w:rPr>
          <w:rFonts w:ascii="Calibri" w:hAnsi="Calibri" w:cs="Calibri"/>
          <w:sz w:val="24"/>
          <w:szCs w:val="24"/>
          <w:vertAlign w:val="superscript"/>
        </w:rPr>
        <w:t>st</w:t>
      </w:r>
      <w:r>
        <w:rPr>
          <w:rFonts w:ascii="Calibri" w:hAnsi="Calibri" w:cs="Calibri"/>
          <w:sz w:val="24"/>
          <w:szCs w:val="24"/>
        </w:rPr>
        <w:t xml:space="preserve"> Street, </w:t>
      </w:r>
      <w:r w:rsidR="00403AD3">
        <w:rPr>
          <w:rFonts w:ascii="Calibri" w:hAnsi="Calibri" w:cs="Calibri"/>
          <w:sz w:val="24"/>
          <w:szCs w:val="24"/>
        </w:rPr>
        <w:t>N.W.</w:t>
      </w:r>
    </w:p>
    <w:p w14:paraId="34ED3175" w14:textId="67C073DA" w:rsidR="003B0B56" w:rsidRDefault="003B0B56" w:rsidP="003B0B56">
      <w:pPr>
        <w:spacing w:after="0"/>
        <w:rPr>
          <w:rFonts w:ascii="Calibri" w:hAnsi="Calibri" w:cs="Calibri"/>
          <w:sz w:val="24"/>
          <w:szCs w:val="24"/>
        </w:rPr>
      </w:pPr>
      <w:r>
        <w:rPr>
          <w:rFonts w:ascii="Calibri" w:hAnsi="Calibri" w:cs="Calibri"/>
          <w:sz w:val="24"/>
          <w:szCs w:val="24"/>
        </w:rPr>
        <w:t>Washington, DC 20581</w:t>
      </w:r>
    </w:p>
    <w:p w14:paraId="2E9D2E7E" w14:textId="5F0D592F" w:rsidR="003B0B56" w:rsidRDefault="003B0B56" w:rsidP="003B0B56">
      <w:pPr>
        <w:spacing w:after="0"/>
        <w:rPr>
          <w:rFonts w:ascii="Calibri" w:hAnsi="Calibri" w:cs="Calibri"/>
          <w:sz w:val="24"/>
          <w:szCs w:val="24"/>
        </w:rPr>
      </w:pPr>
    </w:p>
    <w:p w14:paraId="1E234FDF" w14:textId="5108CC7F" w:rsidR="003B0B56" w:rsidRDefault="003B0B56" w:rsidP="00F976F0">
      <w:pPr>
        <w:spacing w:after="0"/>
        <w:rPr>
          <w:rFonts w:ascii="Calibri" w:hAnsi="Calibri" w:cs="Calibri"/>
          <w:sz w:val="24"/>
          <w:szCs w:val="24"/>
        </w:rPr>
      </w:pPr>
      <w:r>
        <w:rPr>
          <w:rFonts w:ascii="Calibri" w:hAnsi="Calibri" w:cs="Calibri"/>
          <w:sz w:val="24"/>
          <w:szCs w:val="24"/>
        </w:rPr>
        <w:t xml:space="preserve">Re:  </w:t>
      </w:r>
      <w:r w:rsidR="00F976F0">
        <w:rPr>
          <w:rFonts w:ascii="Calibri" w:hAnsi="Calibri" w:cs="Calibri"/>
          <w:sz w:val="24"/>
          <w:szCs w:val="24"/>
        </w:rPr>
        <w:t>Commission Guidance Regarding the</w:t>
      </w:r>
      <w:r w:rsidR="00403AD3">
        <w:rPr>
          <w:rFonts w:ascii="Calibri" w:hAnsi="Calibri" w:cs="Calibri"/>
          <w:sz w:val="24"/>
          <w:szCs w:val="24"/>
        </w:rPr>
        <w:t xml:space="preserve"> Listing of Voluntary Carbon Credit Derivatives Contracts; Request for Comment; RIN 3038-AF40</w:t>
      </w:r>
    </w:p>
    <w:p w14:paraId="25CB1DAC" w14:textId="77777777" w:rsidR="00403AD3" w:rsidRDefault="00403AD3" w:rsidP="003B0B56">
      <w:pPr>
        <w:spacing w:after="0"/>
        <w:rPr>
          <w:rFonts w:ascii="Calibri" w:hAnsi="Calibri" w:cs="Calibri"/>
          <w:sz w:val="24"/>
          <w:szCs w:val="24"/>
        </w:rPr>
      </w:pPr>
    </w:p>
    <w:p w14:paraId="64A24AD0" w14:textId="5D73369D" w:rsidR="00403AD3" w:rsidRDefault="00403AD3" w:rsidP="00403AD3">
      <w:pPr>
        <w:rPr>
          <w:rFonts w:ascii="Calibri" w:hAnsi="Calibri" w:cs="Calibri"/>
          <w:sz w:val="24"/>
          <w:szCs w:val="24"/>
        </w:rPr>
      </w:pPr>
      <w:r>
        <w:rPr>
          <w:rFonts w:ascii="Calibri" w:hAnsi="Calibri" w:cs="Calibri"/>
          <w:sz w:val="24"/>
          <w:szCs w:val="24"/>
        </w:rPr>
        <w:t>Dear Mr. Kirkpatrick:</w:t>
      </w:r>
    </w:p>
    <w:p w14:paraId="69859491" w14:textId="3414EC56" w:rsidR="00522498" w:rsidRPr="00EF010E" w:rsidRDefault="00F976F0" w:rsidP="00E313AC">
      <w:pPr>
        <w:rPr>
          <w:rFonts w:ascii="Calibri" w:hAnsi="Calibri" w:cs="Calibri"/>
          <w:sz w:val="24"/>
          <w:szCs w:val="24"/>
        </w:rPr>
      </w:pPr>
      <w:r>
        <w:rPr>
          <w:rFonts w:ascii="Calibri" w:hAnsi="Calibri" w:cs="Calibri"/>
          <w:sz w:val="24"/>
          <w:szCs w:val="24"/>
        </w:rPr>
        <w:t xml:space="preserve">The Integrity Council for the </w:t>
      </w:r>
      <w:r w:rsidR="0075286B">
        <w:rPr>
          <w:rFonts w:ascii="Calibri" w:hAnsi="Calibri" w:cs="Calibri"/>
          <w:sz w:val="24"/>
          <w:szCs w:val="24"/>
        </w:rPr>
        <w:t>Voluntary Carbon Market (</w:t>
      </w:r>
      <w:r w:rsidR="0075286B" w:rsidRPr="0075286B">
        <w:rPr>
          <w:rFonts w:ascii="Calibri" w:hAnsi="Calibri" w:cs="Calibri"/>
          <w:b/>
          <w:bCs/>
          <w:sz w:val="24"/>
          <w:szCs w:val="24"/>
        </w:rPr>
        <w:t xml:space="preserve">Integrity Council </w:t>
      </w:r>
      <w:r w:rsidR="0075286B">
        <w:rPr>
          <w:rFonts w:ascii="Calibri" w:hAnsi="Calibri" w:cs="Calibri"/>
          <w:sz w:val="24"/>
          <w:szCs w:val="24"/>
        </w:rPr>
        <w:t xml:space="preserve">or </w:t>
      </w:r>
      <w:r w:rsidR="0075286B" w:rsidRPr="0075286B">
        <w:rPr>
          <w:rFonts w:ascii="Calibri" w:hAnsi="Calibri" w:cs="Calibri"/>
          <w:b/>
          <w:bCs/>
          <w:sz w:val="24"/>
          <w:szCs w:val="24"/>
        </w:rPr>
        <w:t>ICVCM</w:t>
      </w:r>
      <w:r w:rsidR="0075286B">
        <w:rPr>
          <w:rFonts w:ascii="Calibri" w:hAnsi="Calibri" w:cs="Calibri"/>
          <w:sz w:val="24"/>
          <w:szCs w:val="24"/>
        </w:rPr>
        <w:t>) appreciates the opportunity to submit</w:t>
      </w:r>
      <w:r w:rsidR="000810C3">
        <w:rPr>
          <w:rFonts w:ascii="Calibri" w:hAnsi="Calibri" w:cs="Calibri"/>
          <w:sz w:val="24"/>
          <w:szCs w:val="24"/>
        </w:rPr>
        <w:t xml:space="preserve"> its</w:t>
      </w:r>
      <w:r w:rsidR="0075286B">
        <w:rPr>
          <w:rFonts w:ascii="Calibri" w:hAnsi="Calibri" w:cs="Calibri"/>
          <w:sz w:val="24"/>
          <w:szCs w:val="24"/>
        </w:rPr>
        <w:t xml:space="preserve"> comments regarding the Commodity Futures Trading Commission’s (</w:t>
      </w:r>
      <w:r w:rsidR="0075286B" w:rsidRPr="00F3675C">
        <w:rPr>
          <w:rFonts w:ascii="Calibri" w:hAnsi="Calibri" w:cs="Calibri"/>
          <w:b/>
          <w:bCs/>
          <w:sz w:val="24"/>
          <w:szCs w:val="24"/>
        </w:rPr>
        <w:t>CFTC</w:t>
      </w:r>
      <w:r w:rsidR="0075286B">
        <w:rPr>
          <w:rFonts w:ascii="Calibri" w:hAnsi="Calibri" w:cs="Calibri"/>
          <w:sz w:val="24"/>
          <w:szCs w:val="24"/>
        </w:rPr>
        <w:t xml:space="preserve"> or </w:t>
      </w:r>
      <w:r w:rsidR="0075286B" w:rsidRPr="00F3675C">
        <w:rPr>
          <w:rFonts w:ascii="Calibri" w:hAnsi="Calibri" w:cs="Calibri"/>
          <w:b/>
          <w:bCs/>
          <w:sz w:val="24"/>
          <w:szCs w:val="24"/>
        </w:rPr>
        <w:t>Commission</w:t>
      </w:r>
      <w:r w:rsidR="0075286B">
        <w:rPr>
          <w:rFonts w:ascii="Calibri" w:hAnsi="Calibri" w:cs="Calibri"/>
          <w:sz w:val="24"/>
          <w:szCs w:val="24"/>
        </w:rPr>
        <w:t xml:space="preserve">) </w:t>
      </w:r>
      <w:r w:rsidR="003B0B56" w:rsidRPr="00EF010E">
        <w:rPr>
          <w:rFonts w:ascii="Calibri" w:hAnsi="Calibri" w:cs="Calibri"/>
          <w:sz w:val="24"/>
          <w:szCs w:val="24"/>
        </w:rPr>
        <w:t>proposed guidance</w:t>
      </w:r>
      <w:r w:rsidR="003B0B56" w:rsidRPr="00EF010E">
        <w:rPr>
          <w:rStyle w:val="FootnoteReference"/>
          <w:rFonts w:ascii="Calibri" w:hAnsi="Calibri" w:cs="Calibri"/>
          <w:sz w:val="24"/>
          <w:szCs w:val="24"/>
        </w:rPr>
        <w:footnoteReference w:id="2"/>
      </w:r>
      <w:r w:rsidR="003B0B56" w:rsidRPr="00EF010E">
        <w:rPr>
          <w:rFonts w:ascii="Calibri" w:hAnsi="Calibri" w:cs="Calibri"/>
          <w:sz w:val="24"/>
          <w:szCs w:val="24"/>
        </w:rPr>
        <w:t xml:space="preserve"> </w:t>
      </w:r>
      <w:r w:rsidR="007268EC">
        <w:rPr>
          <w:rFonts w:ascii="Calibri" w:hAnsi="Calibri" w:cs="Calibri"/>
          <w:sz w:val="24"/>
          <w:szCs w:val="24"/>
        </w:rPr>
        <w:t>(</w:t>
      </w:r>
      <w:r w:rsidR="007268EC" w:rsidRPr="007268EC">
        <w:rPr>
          <w:rFonts w:ascii="Calibri" w:hAnsi="Calibri" w:cs="Calibri"/>
          <w:b/>
          <w:bCs/>
          <w:sz w:val="24"/>
          <w:szCs w:val="24"/>
        </w:rPr>
        <w:t>Proposed Guidance</w:t>
      </w:r>
      <w:r w:rsidR="007268EC" w:rsidRPr="005476FB">
        <w:rPr>
          <w:rFonts w:ascii="Calibri" w:hAnsi="Calibri" w:cs="Calibri"/>
          <w:sz w:val="24"/>
          <w:szCs w:val="24"/>
        </w:rPr>
        <w:t>)</w:t>
      </w:r>
      <w:r w:rsidR="007268EC">
        <w:rPr>
          <w:rFonts w:ascii="Calibri" w:hAnsi="Calibri" w:cs="Calibri"/>
          <w:sz w:val="24"/>
          <w:szCs w:val="24"/>
        </w:rPr>
        <w:t xml:space="preserve"> </w:t>
      </w:r>
      <w:r w:rsidR="000810C3">
        <w:rPr>
          <w:rFonts w:ascii="Calibri" w:hAnsi="Calibri" w:cs="Calibri"/>
          <w:sz w:val="24"/>
          <w:szCs w:val="24"/>
        </w:rPr>
        <w:t>for</w:t>
      </w:r>
      <w:r w:rsidR="003B0B56" w:rsidRPr="00EF010E">
        <w:rPr>
          <w:rFonts w:ascii="Calibri" w:hAnsi="Calibri" w:cs="Calibri"/>
          <w:sz w:val="24"/>
          <w:szCs w:val="24"/>
        </w:rPr>
        <w:t xml:space="preserve"> the listing</w:t>
      </w:r>
      <w:r w:rsidR="00F3675C">
        <w:rPr>
          <w:rFonts w:ascii="Calibri" w:hAnsi="Calibri" w:cs="Calibri"/>
          <w:sz w:val="24"/>
          <w:szCs w:val="24"/>
        </w:rPr>
        <w:t xml:space="preserve"> of</w:t>
      </w:r>
      <w:r w:rsidR="003B0B56" w:rsidRPr="00EF010E">
        <w:rPr>
          <w:rFonts w:ascii="Calibri" w:hAnsi="Calibri" w:cs="Calibri"/>
          <w:sz w:val="24"/>
          <w:szCs w:val="24"/>
        </w:rPr>
        <w:t xml:space="preserve"> voluntary carbon credit derivative contracts </w:t>
      </w:r>
      <w:r w:rsidR="00522498" w:rsidRPr="00EF010E">
        <w:rPr>
          <w:rFonts w:ascii="Calibri" w:hAnsi="Calibri" w:cs="Calibri"/>
          <w:sz w:val="24"/>
          <w:szCs w:val="24"/>
        </w:rPr>
        <w:t>published in the Federal Register on December 27, 2023.</w:t>
      </w:r>
      <w:r w:rsidR="00407AA1" w:rsidRPr="00EF010E">
        <w:rPr>
          <w:rStyle w:val="FootnoteReference"/>
          <w:rFonts w:ascii="Calibri" w:hAnsi="Calibri" w:cs="Calibri"/>
          <w:sz w:val="24"/>
          <w:szCs w:val="24"/>
        </w:rPr>
        <w:footnoteReference w:id="3"/>
      </w:r>
    </w:p>
    <w:p w14:paraId="617C3A5B" w14:textId="095F9445" w:rsidR="00816D6E" w:rsidRDefault="00816D6E" w:rsidP="00872B99">
      <w:pPr>
        <w:jc w:val="both"/>
        <w:rPr>
          <w:rFonts w:ascii="Calibri" w:hAnsi="Calibri" w:cs="Calibri"/>
          <w:sz w:val="24"/>
          <w:szCs w:val="24"/>
        </w:rPr>
      </w:pPr>
      <w:r>
        <w:rPr>
          <w:rFonts w:ascii="Calibri" w:hAnsi="Calibri" w:cs="Calibri"/>
          <w:sz w:val="24"/>
          <w:szCs w:val="24"/>
        </w:rPr>
        <w:t>The Integrity Council supports the Commission’s efforts to enhance the quality of voluntary carbon credits (</w:t>
      </w:r>
      <w:r w:rsidRPr="00816D6E">
        <w:rPr>
          <w:rFonts w:ascii="Calibri" w:hAnsi="Calibri" w:cs="Calibri"/>
          <w:b/>
          <w:bCs/>
          <w:sz w:val="24"/>
          <w:szCs w:val="24"/>
        </w:rPr>
        <w:t>VCCs</w:t>
      </w:r>
      <w:r>
        <w:rPr>
          <w:rFonts w:ascii="Calibri" w:hAnsi="Calibri" w:cs="Calibri"/>
          <w:sz w:val="24"/>
          <w:szCs w:val="24"/>
        </w:rPr>
        <w:t>) and bring integrity to voluntary carbon markets</w:t>
      </w:r>
      <w:r w:rsidR="00EC21EB">
        <w:rPr>
          <w:rFonts w:ascii="Calibri" w:hAnsi="Calibri" w:cs="Calibri"/>
          <w:sz w:val="24"/>
          <w:szCs w:val="24"/>
        </w:rPr>
        <w:t xml:space="preserve"> (</w:t>
      </w:r>
      <w:r w:rsidR="00EC21EB" w:rsidRPr="00EC21EB">
        <w:rPr>
          <w:rFonts w:ascii="Calibri" w:hAnsi="Calibri" w:cs="Calibri"/>
          <w:b/>
          <w:bCs/>
          <w:sz w:val="24"/>
          <w:szCs w:val="24"/>
        </w:rPr>
        <w:t>VCMs</w:t>
      </w:r>
      <w:r w:rsidR="00EC21EB">
        <w:rPr>
          <w:rFonts w:ascii="Calibri" w:hAnsi="Calibri" w:cs="Calibri"/>
          <w:sz w:val="24"/>
          <w:szCs w:val="24"/>
        </w:rPr>
        <w:t>).</w:t>
      </w:r>
      <w:r>
        <w:rPr>
          <w:rFonts w:ascii="Calibri" w:hAnsi="Calibri" w:cs="Calibri"/>
          <w:sz w:val="24"/>
          <w:szCs w:val="24"/>
        </w:rPr>
        <w:t xml:space="preserve"> Integrity is the North Star of the Integrity Council. </w:t>
      </w:r>
      <w:r w:rsidR="007268EC">
        <w:rPr>
          <w:rFonts w:ascii="Calibri" w:hAnsi="Calibri" w:cs="Calibri"/>
          <w:sz w:val="24"/>
          <w:szCs w:val="24"/>
        </w:rPr>
        <w:t>It</w:t>
      </w:r>
      <w:r>
        <w:rPr>
          <w:rFonts w:ascii="Calibri" w:hAnsi="Calibri" w:cs="Calibri"/>
          <w:sz w:val="24"/>
          <w:szCs w:val="24"/>
        </w:rPr>
        <w:t xml:space="preserve"> is </w:t>
      </w:r>
      <w:r w:rsidR="00E329EB">
        <w:rPr>
          <w:rFonts w:ascii="Calibri" w:hAnsi="Calibri" w:cs="Calibri"/>
          <w:sz w:val="24"/>
          <w:szCs w:val="24"/>
        </w:rPr>
        <w:t>essential</w:t>
      </w:r>
      <w:r>
        <w:rPr>
          <w:rFonts w:ascii="Calibri" w:hAnsi="Calibri" w:cs="Calibri"/>
          <w:sz w:val="24"/>
          <w:szCs w:val="24"/>
        </w:rPr>
        <w:t xml:space="preserve"> not only to ensure that VCCs genuinely reduce or remove greenhouse gas emissions, but also to </w:t>
      </w:r>
      <w:r w:rsidR="007268EC">
        <w:rPr>
          <w:rFonts w:ascii="Calibri" w:hAnsi="Calibri" w:cs="Calibri"/>
          <w:sz w:val="24"/>
          <w:szCs w:val="24"/>
        </w:rPr>
        <w:t xml:space="preserve">provide </w:t>
      </w:r>
      <w:r w:rsidR="00A34C2F">
        <w:rPr>
          <w:rFonts w:ascii="Calibri" w:hAnsi="Calibri" w:cs="Calibri"/>
          <w:sz w:val="24"/>
          <w:szCs w:val="24"/>
        </w:rPr>
        <w:t>a firm</w:t>
      </w:r>
      <w:r w:rsidR="007268EC">
        <w:rPr>
          <w:rFonts w:ascii="Calibri" w:hAnsi="Calibri" w:cs="Calibri"/>
          <w:sz w:val="24"/>
          <w:szCs w:val="24"/>
        </w:rPr>
        <w:t xml:space="preserve"> foundation for</w:t>
      </w:r>
      <w:r>
        <w:rPr>
          <w:rFonts w:ascii="Calibri" w:hAnsi="Calibri" w:cs="Calibri"/>
          <w:sz w:val="24"/>
          <w:szCs w:val="24"/>
        </w:rPr>
        <w:t xml:space="preserve"> a more robust, </w:t>
      </w:r>
      <w:proofErr w:type="gramStart"/>
      <w:r>
        <w:rPr>
          <w:rFonts w:ascii="Calibri" w:hAnsi="Calibri" w:cs="Calibri"/>
          <w:sz w:val="24"/>
          <w:szCs w:val="24"/>
        </w:rPr>
        <w:t>liquid</w:t>
      </w:r>
      <w:proofErr w:type="gramEnd"/>
      <w:r>
        <w:rPr>
          <w:rFonts w:ascii="Calibri" w:hAnsi="Calibri" w:cs="Calibri"/>
          <w:sz w:val="24"/>
          <w:szCs w:val="24"/>
        </w:rPr>
        <w:t xml:space="preserve"> and transparent </w:t>
      </w:r>
      <w:r w:rsidR="007268EC">
        <w:rPr>
          <w:rFonts w:ascii="Calibri" w:hAnsi="Calibri" w:cs="Calibri"/>
          <w:sz w:val="24"/>
          <w:szCs w:val="24"/>
        </w:rPr>
        <w:t xml:space="preserve">VCM </w:t>
      </w:r>
      <w:r w:rsidR="00EC21EB">
        <w:rPr>
          <w:rFonts w:ascii="Calibri" w:hAnsi="Calibri" w:cs="Calibri"/>
          <w:sz w:val="24"/>
          <w:szCs w:val="24"/>
        </w:rPr>
        <w:t xml:space="preserve">that can meaningfully accelerate </w:t>
      </w:r>
      <w:r w:rsidR="007268EC">
        <w:rPr>
          <w:rFonts w:ascii="Calibri" w:hAnsi="Calibri" w:cs="Calibri"/>
          <w:sz w:val="24"/>
          <w:szCs w:val="24"/>
        </w:rPr>
        <w:t xml:space="preserve">the </w:t>
      </w:r>
      <w:r w:rsidR="00EC21EB">
        <w:rPr>
          <w:rFonts w:ascii="Calibri" w:hAnsi="Calibri" w:cs="Calibri"/>
          <w:sz w:val="24"/>
          <w:szCs w:val="24"/>
        </w:rPr>
        <w:t xml:space="preserve">transition to net zero. </w:t>
      </w:r>
      <w:r w:rsidR="0047774C">
        <w:rPr>
          <w:rFonts w:ascii="Calibri" w:hAnsi="Calibri" w:cs="Calibri"/>
          <w:sz w:val="24"/>
          <w:szCs w:val="24"/>
        </w:rPr>
        <w:t>As described in greater detail below, t</w:t>
      </w:r>
      <w:r w:rsidR="00EC21EB">
        <w:rPr>
          <w:rFonts w:ascii="Calibri" w:hAnsi="Calibri" w:cs="Calibri"/>
          <w:sz w:val="24"/>
          <w:szCs w:val="24"/>
        </w:rPr>
        <w:t>he Integrity Council</w:t>
      </w:r>
      <w:r w:rsidR="0023639E">
        <w:rPr>
          <w:rFonts w:ascii="Calibri" w:hAnsi="Calibri" w:cs="Calibri"/>
          <w:sz w:val="24"/>
          <w:szCs w:val="24"/>
        </w:rPr>
        <w:t>’s</w:t>
      </w:r>
      <w:r w:rsidR="00EC21EB">
        <w:rPr>
          <w:rFonts w:ascii="Calibri" w:hAnsi="Calibri" w:cs="Calibri"/>
          <w:sz w:val="24"/>
          <w:szCs w:val="24"/>
        </w:rPr>
        <w:t xml:space="preserve"> </w:t>
      </w:r>
      <w:r w:rsidR="0023639E">
        <w:rPr>
          <w:rFonts w:ascii="Calibri" w:hAnsi="Calibri" w:cs="Calibri"/>
          <w:sz w:val="24"/>
          <w:szCs w:val="24"/>
        </w:rPr>
        <w:t>program to address</w:t>
      </w:r>
      <w:r w:rsidR="00EC21EB">
        <w:rPr>
          <w:rFonts w:ascii="Calibri" w:hAnsi="Calibri" w:cs="Calibri"/>
          <w:sz w:val="24"/>
          <w:szCs w:val="24"/>
        </w:rPr>
        <w:t xml:space="preserve"> the urgent need to bring integrity to the </w:t>
      </w:r>
      <w:r w:rsidR="0047774C">
        <w:rPr>
          <w:rFonts w:ascii="Calibri" w:hAnsi="Calibri" w:cs="Calibri"/>
          <w:sz w:val="24"/>
          <w:szCs w:val="24"/>
        </w:rPr>
        <w:t>VCM</w:t>
      </w:r>
      <w:r w:rsidR="0023639E">
        <w:rPr>
          <w:rFonts w:ascii="Calibri" w:hAnsi="Calibri" w:cs="Calibri"/>
          <w:sz w:val="24"/>
          <w:szCs w:val="24"/>
        </w:rPr>
        <w:t xml:space="preserve"> is well underway. </w:t>
      </w:r>
      <w:r w:rsidR="0047774C">
        <w:rPr>
          <w:rFonts w:ascii="Calibri" w:hAnsi="Calibri" w:cs="Calibri"/>
          <w:sz w:val="24"/>
          <w:szCs w:val="24"/>
        </w:rPr>
        <w:t>Accordingly, we</w:t>
      </w:r>
      <w:r w:rsidR="00EC21EB">
        <w:rPr>
          <w:rFonts w:ascii="Calibri" w:hAnsi="Calibri" w:cs="Calibri"/>
          <w:sz w:val="24"/>
          <w:szCs w:val="24"/>
        </w:rPr>
        <w:t xml:space="preserve"> believe that the Commission should recognize and rely upon the ICVCM framework as a key component of its regulatory oversight </w:t>
      </w:r>
      <w:r w:rsidR="007268EC">
        <w:rPr>
          <w:rFonts w:ascii="Calibri" w:hAnsi="Calibri" w:cs="Calibri"/>
          <w:sz w:val="24"/>
          <w:szCs w:val="24"/>
        </w:rPr>
        <w:t xml:space="preserve">role. </w:t>
      </w:r>
    </w:p>
    <w:p w14:paraId="6EA804A4" w14:textId="77777777" w:rsidR="00816D6E" w:rsidRDefault="00816D6E" w:rsidP="00872B99">
      <w:pPr>
        <w:jc w:val="both"/>
        <w:rPr>
          <w:rFonts w:ascii="Calibri" w:hAnsi="Calibri" w:cs="Calibri"/>
          <w:sz w:val="24"/>
          <w:szCs w:val="24"/>
        </w:rPr>
      </w:pPr>
    </w:p>
    <w:p w14:paraId="479B8CF2" w14:textId="0C7551AB" w:rsidR="007B41F2" w:rsidRPr="00D04C8A" w:rsidRDefault="00D04C8A" w:rsidP="00D04C8A">
      <w:pPr>
        <w:numPr>
          <w:ilvl w:val="0"/>
          <w:numId w:val="28"/>
        </w:numPr>
        <w:jc w:val="both"/>
        <w:rPr>
          <w:rFonts w:ascii="Calibri" w:hAnsi="Calibri" w:cs="Calibri"/>
          <w:sz w:val="24"/>
          <w:szCs w:val="24"/>
        </w:rPr>
      </w:pPr>
      <w:r>
        <w:rPr>
          <w:rFonts w:ascii="Calibri" w:hAnsi="Calibri" w:cs="Calibri"/>
          <w:sz w:val="24"/>
          <w:szCs w:val="24"/>
        </w:rPr>
        <w:lastRenderedPageBreak/>
        <w:t>T</w:t>
      </w:r>
      <w:r w:rsidR="00E329EB">
        <w:rPr>
          <w:rFonts w:ascii="Calibri" w:hAnsi="Calibri" w:cs="Calibri"/>
          <w:sz w:val="24"/>
          <w:szCs w:val="24"/>
        </w:rPr>
        <w:t>he Integrity Council’s Standard-Setting for VCCs and the VCM</w:t>
      </w:r>
    </w:p>
    <w:p w14:paraId="2720246A" w14:textId="3588659E" w:rsidR="00522498" w:rsidRDefault="006975E9" w:rsidP="00872B99">
      <w:pPr>
        <w:jc w:val="both"/>
        <w:rPr>
          <w:rFonts w:ascii="Calibri" w:hAnsi="Calibri" w:cs="Calibri"/>
          <w:sz w:val="24"/>
          <w:szCs w:val="24"/>
        </w:rPr>
      </w:pPr>
      <w:r>
        <w:rPr>
          <w:rFonts w:ascii="Calibri" w:hAnsi="Calibri" w:cs="Calibri"/>
          <w:sz w:val="24"/>
          <w:szCs w:val="24"/>
        </w:rPr>
        <w:t>The Integrity Council</w:t>
      </w:r>
      <w:r w:rsidR="00522498" w:rsidRPr="00313B26">
        <w:rPr>
          <w:rFonts w:ascii="Calibri" w:hAnsi="Calibri" w:cs="Calibri"/>
          <w:sz w:val="24"/>
          <w:szCs w:val="24"/>
        </w:rPr>
        <w:t xml:space="preserve"> is </w:t>
      </w:r>
      <w:r w:rsidR="00BD187D" w:rsidRPr="00872B99">
        <w:rPr>
          <w:rFonts w:ascii="Calibri" w:hAnsi="Calibri" w:cs="Calibri"/>
          <w:sz w:val="24"/>
          <w:szCs w:val="24"/>
        </w:rPr>
        <w:t xml:space="preserve">an independent governance body for the </w:t>
      </w:r>
      <w:r w:rsidR="00E329EB">
        <w:rPr>
          <w:rFonts w:ascii="Calibri" w:hAnsi="Calibri" w:cs="Calibri"/>
          <w:sz w:val="24"/>
          <w:szCs w:val="24"/>
        </w:rPr>
        <w:t xml:space="preserve">VCM </w:t>
      </w:r>
      <w:r w:rsidR="00FA350C">
        <w:rPr>
          <w:rFonts w:ascii="Calibri" w:hAnsi="Calibri" w:cs="Calibri"/>
          <w:sz w:val="24"/>
          <w:szCs w:val="24"/>
        </w:rPr>
        <w:t>established in</w:t>
      </w:r>
      <w:r w:rsidR="00BD187D" w:rsidRPr="00872B99">
        <w:rPr>
          <w:rFonts w:ascii="Calibri" w:hAnsi="Calibri" w:cs="Calibri"/>
          <w:sz w:val="24"/>
          <w:szCs w:val="24"/>
        </w:rPr>
        <w:t xml:space="preserve"> 2021. The </w:t>
      </w:r>
      <w:r w:rsidR="00FA350C">
        <w:rPr>
          <w:rFonts w:ascii="Calibri" w:hAnsi="Calibri" w:cs="Calibri"/>
          <w:sz w:val="24"/>
          <w:szCs w:val="24"/>
        </w:rPr>
        <w:t>mission</w:t>
      </w:r>
      <w:r w:rsidR="00BD187D" w:rsidRPr="00872B99">
        <w:rPr>
          <w:rFonts w:ascii="Calibri" w:hAnsi="Calibri" w:cs="Calibri"/>
          <w:sz w:val="24"/>
          <w:szCs w:val="24"/>
        </w:rPr>
        <w:t xml:space="preserve"> of the Integrity Council is to ensure that carbon credits are </w:t>
      </w:r>
      <w:r w:rsidR="00D04C8A">
        <w:rPr>
          <w:rFonts w:ascii="Calibri" w:hAnsi="Calibri" w:cs="Calibri"/>
          <w:sz w:val="24"/>
          <w:szCs w:val="24"/>
        </w:rPr>
        <w:t xml:space="preserve">of </w:t>
      </w:r>
      <w:r w:rsidR="00BD187D" w:rsidRPr="00872B99">
        <w:rPr>
          <w:rFonts w:ascii="Calibri" w:hAnsi="Calibri" w:cs="Calibri"/>
          <w:sz w:val="24"/>
          <w:szCs w:val="24"/>
        </w:rPr>
        <w:t xml:space="preserve">consistently high integrity to enable the voluntary carbon market to meet its </w:t>
      </w:r>
      <w:r w:rsidR="00572B3A">
        <w:rPr>
          <w:rFonts w:ascii="Calibri" w:hAnsi="Calibri" w:cs="Calibri"/>
          <w:sz w:val="24"/>
          <w:szCs w:val="24"/>
        </w:rPr>
        <w:t xml:space="preserve">full </w:t>
      </w:r>
      <w:r w:rsidR="00BD187D" w:rsidRPr="00872B99">
        <w:rPr>
          <w:rFonts w:ascii="Calibri" w:hAnsi="Calibri" w:cs="Calibri"/>
          <w:sz w:val="24"/>
          <w:szCs w:val="24"/>
        </w:rPr>
        <w:t>potential</w:t>
      </w:r>
      <w:r w:rsidR="00D26627">
        <w:rPr>
          <w:rFonts w:ascii="Calibri" w:hAnsi="Calibri" w:cs="Calibri"/>
          <w:sz w:val="24"/>
          <w:szCs w:val="24"/>
        </w:rPr>
        <w:t xml:space="preserve"> as a </w:t>
      </w:r>
      <w:r w:rsidR="00D04C8A">
        <w:rPr>
          <w:rFonts w:ascii="Calibri" w:hAnsi="Calibri" w:cs="Calibri"/>
          <w:sz w:val="24"/>
          <w:szCs w:val="24"/>
        </w:rPr>
        <w:t xml:space="preserve">key </w:t>
      </w:r>
      <w:r w:rsidR="00D26627">
        <w:rPr>
          <w:rFonts w:ascii="Calibri" w:hAnsi="Calibri" w:cs="Calibri"/>
          <w:sz w:val="24"/>
          <w:szCs w:val="24"/>
        </w:rPr>
        <w:t xml:space="preserve">complementary tool </w:t>
      </w:r>
      <w:r w:rsidR="00572B3A">
        <w:rPr>
          <w:rFonts w:ascii="Calibri" w:hAnsi="Calibri" w:cs="Calibri"/>
          <w:sz w:val="24"/>
          <w:szCs w:val="24"/>
        </w:rPr>
        <w:t xml:space="preserve">to reduce and remove greenhouse gas emissions. </w:t>
      </w:r>
      <w:r w:rsidR="00D26627">
        <w:rPr>
          <w:rFonts w:ascii="Calibri" w:hAnsi="Calibri" w:cs="Calibri"/>
          <w:sz w:val="24"/>
          <w:szCs w:val="24"/>
        </w:rPr>
        <w:t xml:space="preserve"> </w:t>
      </w:r>
      <w:r w:rsidR="00FA350C">
        <w:rPr>
          <w:rFonts w:ascii="Calibri" w:hAnsi="Calibri" w:cs="Calibri"/>
          <w:sz w:val="24"/>
          <w:szCs w:val="24"/>
        </w:rPr>
        <w:t xml:space="preserve">The Integrity Council </w:t>
      </w:r>
      <w:r w:rsidR="00D26627">
        <w:rPr>
          <w:rFonts w:ascii="Calibri" w:hAnsi="Calibri" w:cs="Calibri"/>
          <w:sz w:val="24"/>
          <w:szCs w:val="24"/>
        </w:rPr>
        <w:t xml:space="preserve">is an outgrowth, and </w:t>
      </w:r>
      <w:r w:rsidR="00EF20EC">
        <w:rPr>
          <w:rFonts w:ascii="Calibri" w:hAnsi="Calibri" w:cs="Calibri"/>
          <w:sz w:val="24"/>
          <w:szCs w:val="24"/>
        </w:rPr>
        <w:t>follows on the work of</w:t>
      </w:r>
      <w:r w:rsidR="00D26627">
        <w:rPr>
          <w:rFonts w:ascii="Calibri" w:hAnsi="Calibri" w:cs="Calibri"/>
          <w:sz w:val="24"/>
          <w:szCs w:val="24"/>
        </w:rPr>
        <w:t>,</w:t>
      </w:r>
      <w:r w:rsidR="00EF20EC">
        <w:rPr>
          <w:rFonts w:ascii="Calibri" w:hAnsi="Calibri" w:cs="Calibri"/>
          <w:sz w:val="24"/>
          <w:szCs w:val="24"/>
        </w:rPr>
        <w:t xml:space="preserve"> its predecessor entity, The Task Force on Scaling Voluntary Carbon Markets (</w:t>
      </w:r>
      <w:r w:rsidR="00EF20EC" w:rsidRPr="00EF20EC">
        <w:rPr>
          <w:rFonts w:ascii="Calibri" w:hAnsi="Calibri" w:cs="Calibri"/>
          <w:b/>
          <w:bCs/>
          <w:sz w:val="24"/>
          <w:szCs w:val="24"/>
        </w:rPr>
        <w:t>TSVCM</w:t>
      </w:r>
      <w:r w:rsidR="00EF20EC">
        <w:rPr>
          <w:rFonts w:ascii="Calibri" w:hAnsi="Calibri" w:cs="Calibri"/>
          <w:sz w:val="24"/>
          <w:szCs w:val="24"/>
        </w:rPr>
        <w:t>)</w:t>
      </w:r>
      <w:r w:rsidR="00D26627">
        <w:rPr>
          <w:rFonts w:ascii="Calibri" w:hAnsi="Calibri" w:cs="Calibri"/>
          <w:sz w:val="24"/>
          <w:szCs w:val="24"/>
        </w:rPr>
        <w:t xml:space="preserve">.  The TSVCM was </w:t>
      </w:r>
      <w:r w:rsidR="00D04C8A">
        <w:rPr>
          <w:rFonts w:ascii="Calibri" w:hAnsi="Calibri" w:cs="Calibri"/>
          <w:sz w:val="24"/>
          <w:szCs w:val="24"/>
        </w:rPr>
        <w:t xml:space="preserve">a </w:t>
      </w:r>
      <w:proofErr w:type="spellStart"/>
      <w:r w:rsidR="00EF20EC">
        <w:rPr>
          <w:rFonts w:ascii="Calibri" w:hAnsi="Calibri" w:cs="Calibri"/>
          <w:sz w:val="24"/>
          <w:szCs w:val="24"/>
        </w:rPr>
        <w:t>year long</w:t>
      </w:r>
      <w:proofErr w:type="spellEnd"/>
      <w:r w:rsidR="00EF20EC">
        <w:rPr>
          <w:rFonts w:ascii="Calibri" w:hAnsi="Calibri" w:cs="Calibri"/>
          <w:sz w:val="24"/>
          <w:szCs w:val="24"/>
        </w:rPr>
        <w:t xml:space="preserve"> international effort that</w:t>
      </w:r>
      <w:r w:rsidR="00D26627">
        <w:rPr>
          <w:rFonts w:ascii="Calibri" w:hAnsi="Calibri" w:cs="Calibri"/>
          <w:sz w:val="24"/>
          <w:szCs w:val="24"/>
        </w:rPr>
        <w:t xml:space="preserve"> brought together over 450 individuals and 250 organizations from across the ecosystem to create</w:t>
      </w:r>
      <w:r w:rsidR="00EF20EC">
        <w:rPr>
          <w:rFonts w:ascii="Calibri" w:hAnsi="Calibri" w:cs="Calibri"/>
          <w:sz w:val="24"/>
          <w:szCs w:val="24"/>
        </w:rPr>
        <w:t xml:space="preserve"> a blueprint </w:t>
      </w:r>
      <w:r w:rsidR="00D26627">
        <w:rPr>
          <w:rFonts w:ascii="Calibri" w:hAnsi="Calibri" w:cs="Calibri"/>
          <w:sz w:val="24"/>
          <w:szCs w:val="24"/>
        </w:rPr>
        <w:t>to</w:t>
      </w:r>
      <w:r w:rsidR="00572B3A">
        <w:rPr>
          <w:rFonts w:ascii="Calibri" w:hAnsi="Calibri" w:cs="Calibri"/>
          <w:sz w:val="24"/>
          <w:szCs w:val="24"/>
        </w:rPr>
        <w:t xml:space="preserve"> </w:t>
      </w:r>
      <w:proofErr w:type="gramStart"/>
      <w:r w:rsidR="00D04C8A">
        <w:rPr>
          <w:rFonts w:ascii="Calibri" w:hAnsi="Calibri" w:cs="Calibri"/>
          <w:sz w:val="24"/>
          <w:szCs w:val="24"/>
        </w:rPr>
        <w:t xml:space="preserve">build </w:t>
      </w:r>
      <w:r w:rsidR="00572B3A">
        <w:rPr>
          <w:rFonts w:ascii="Calibri" w:hAnsi="Calibri" w:cs="Calibri"/>
          <w:sz w:val="24"/>
          <w:szCs w:val="24"/>
        </w:rPr>
        <w:t xml:space="preserve"> </w:t>
      </w:r>
      <w:r w:rsidR="00EF20EC">
        <w:rPr>
          <w:rFonts w:ascii="Calibri" w:hAnsi="Calibri" w:cs="Calibri"/>
          <w:sz w:val="24"/>
          <w:szCs w:val="24"/>
        </w:rPr>
        <w:t>a</w:t>
      </w:r>
      <w:proofErr w:type="gramEnd"/>
      <w:r w:rsidR="00EF20EC">
        <w:rPr>
          <w:rFonts w:ascii="Calibri" w:hAnsi="Calibri" w:cs="Calibri"/>
          <w:sz w:val="24"/>
          <w:szCs w:val="24"/>
        </w:rPr>
        <w:t xml:space="preserve"> high integrity carbon market that </w:t>
      </w:r>
      <w:r w:rsidR="00D26627">
        <w:rPr>
          <w:rFonts w:ascii="Calibri" w:hAnsi="Calibri" w:cs="Calibri"/>
          <w:sz w:val="24"/>
          <w:szCs w:val="24"/>
        </w:rPr>
        <w:t xml:space="preserve">could </w:t>
      </w:r>
      <w:r w:rsidR="009E5A3C">
        <w:rPr>
          <w:rFonts w:ascii="Calibri" w:hAnsi="Calibri" w:cs="Calibri"/>
          <w:sz w:val="24"/>
          <w:szCs w:val="24"/>
        </w:rPr>
        <w:t xml:space="preserve">meaningfully </w:t>
      </w:r>
      <w:r w:rsidR="00D26627">
        <w:rPr>
          <w:rFonts w:ascii="Calibri" w:hAnsi="Calibri" w:cs="Calibri"/>
          <w:sz w:val="24"/>
          <w:szCs w:val="24"/>
        </w:rPr>
        <w:t xml:space="preserve">scale to meet urgent net zero goals. </w:t>
      </w:r>
    </w:p>
    <w:p w14:paraId="090BA2AE" w14:textId="59E2587C" w:rsidR="009E52C8" w:rsidRDefault="00572B3A" w:rsidP="00A2627F">
      <w:pPr>
        <w:jc w:val="both"/>
        <w:rPr>
          <w:rFonts w:ascii="Calibri" w:hAnsi="Calibri" w:cs="Calibri"/>
          <w:sz w:val="24"/>
          <w:szCs w:val="24"/>
        </w:rPr>
      </w:pPr>
      <w:proofErr w:type="gramStart"/>
      <w:r>
        <w:rPr>
          <w:rFonts w:ascii="Calibri" w:hAnsi="Calibri" w:cs="Calibri"/>
          <w:sz w:val="24"/>
          <w:szCs w:val="24"/>
        </w:rPr>
        <w:t>Following on</w:t>
      </w:r>
      <w:proofErr w:type="gramEnd"/>
      <w:r>
        <w:rPr>
          <w:rFonts w:ascii="Calibri" w:hAnsi="Calibri" w:cs="Calibri"/>
          <w:sz w:val="24"/>
          <w:szCs w:val="24"/>
        </w:rPr>
        <w:t xml:space="preserve"> the TSVCM’s blueprint</w:t>
      </w:r>
      <w:r w:rsidR="00D04C8A">
        <w:rPr>
          <w:rFonts w:ascii="Calibri" w:hAnsi="Calibri" w:cs="Calibri"/>
          <w:sz w:val="24"/>
          <w:szCs w:val="24"/>
        </w:rPr>
        <w:t xml:space="preserve"> work,</w:t>
      </w:r>
      <w:r>
        <w:rPr>
          <w:rFonts w:ascii="Calibri" w:hAnsi="Calibri" w:cs="Calibri"/>
          <w:sz w:val="24"/>
          <w:szCs w:val="24"/>
        </w:rPr>
        <w:t xml:space="preserve"> the </w:t>
      </w:r>
      <w:r w:rsidR="00A2627F">
        <w:rPr>
          <w:rFonts w:ascii="Calibri" w:hAnsi="Calibri" w:cs="Calibri"/>
          <w:sz w:val="24"/>
          <w:szCs w:val="24"/>
        </w:rPr>
        <w:t>Integrity Council</w:t>
      </w:r>
      <w:r>
        <w:rPr>
          <w:rFonts w:ascii="Calibri" w:hAnsi="Calibri" w:cs="Calibri"/>
          <w:sz w:val="24"/>
          <w:szCs w:val="24"/>
        </w:rPr>
        <w:t xml:space="preserve"> </w:t>
      </w:r>
      <w:r w:rsidR="00766691">
        <w:rPr>
          <w:rFonts w:ascii="Calibri" w:hAnsi="Calibri" w:cs="Calibri"/>
          <w:sz w:val="24"/>
          <w:szCs w:val="24"/>
        </w:rPr>
        <w:t xml:space="preserve">was formed with a governing board of </w:t>
      </w:r>
      <w:r w:rsidR="00766691" w:rsidRPr="00850D07">
        <w:rPr>
          <w:rFonts w:ascii="Calibri" w:hAnsi="Calibri" w:cs="Calibri"/>
          <w:sz w:val="24"/>
          <w:szCs w:val="24"/>
        </w:rPr>
        <w:t>2</w:t>
      </w:r>
      <w:r w:rsidR="00D15626" w:rsidRPr="005476FB">
        <w:rPr>
          <w:rFonts w:ascii="Calibri" w:hAnsi="Calibri" w:cs="Calibri"/>
          <w:sz w:val="24"/>
          <w:szCs w:val="24"/>
        </w:rPr>
        <w:t>4</w:t>
      </w:r>
      <w:r w:rsidR="00766691">
        <w:rPr>
          <w:rFonts w:ascii="Calibri" w:hAnsi="Calibri" w:cs="Calibri"/>
          <w:sz w:val="24"/>
          <w:szCs w:val="24"/>
        </w:rPr>
        <w:t xml:space="preserve"> members.  </w:t>
      </w:r>
      <w:r w:rsidR="009E52C8">
        <w:rPr>
          <w:rFonts w:ascii="Calibri" w:hAnsi="Calibri" w:cs="Calibri"/>
          <w:sz w:val="24"/>
          <w:szCs w:val="24"/>
        </w:rPr>
        <w:t>Eighteen g</w:t>
      </w:r>
      <w:r w:rsidR="00766691">
        <w:rPr>
          <w:rFonts w:ascii="Calibri" w:hAnsi="Calibri" w:cs="Calibri"/>
          <w:sz w:val="24"/>
          <w:szCs w:val="24"/>
        </w:rPr>
        <w:t xml:space="preserve">overning board members are independent, three are members of Indigenous Peoples and Local Communities. </w:t>
      </w:r>
      <w:r w:rsidR="009E52C8">
        <w:rPr>
          <w:rFonts w:ascii="Calibri" w:hAnsi="Calibri" w:cs="Calibri"/>
          <w:sz w:val="24"/>
          <w:szCs w:val="24"/>
        </w:rPr>
        <w:t>The remaining three board members are market</w:t>
      </w:r>
      <w:r w:rsidR="00850D07">
        <w:rPr>
          <w:rFonts w:ascii="Calibri" w:hAnsi="Calibri" w:cs="Calibri"/>
          <w:sz w:val="24"/>
          <w:szCs w:val="24"/>
        </w:rPr>
        <w:t xml:space="preserve"> representatives</w:t>
      </w:r>
      <w:r w:rsidR="009E52C8">
        <w:rPr>
          <w:rFonts w:ascii="Calibri" w:hAnsi="Calibri" w:cs="Calibri"/>
          <w:sz w:val="24"/>
          <w:szCs w:val="24"/>
        </w:rPr>
        <w:t xml:space="preserve">, who bring their expertise to the </w:t>
      </w:r>
      <w:r w:rsidR="00D04C8A">
        <w:rPr>
          <w:rFonts w:ascii="Calibri" w:hAnsi="Calibri" w:cs="Calibri"/>
          <w:sz w:val="24"/>
          <w:szCs w:val="24"/>
        </w:rPr>
        <w:t xml:space="preserve">Integrity Council’s </w:t>
      </w:r>
      <w:r w:rsidR="009E52C8">
        <w:rPr>
          <w:rFonts w:ascii="Calibri" w:hAnsi="Calibri" w:cs="Calibri"/>
          <w:sz w:val="24"/>
          <w:szCs w:val="24"/>
        </w:rPr>
        <w:t xml:space="preserve">work but who do not have a vote on standard setting issues. </w:t>
      </w:r>
      <w:r w:rsidR="00D04C8A">
        <w:rPr>
          <w:rFonts w:ascii="Calibri" w:hAnsi="Calibri" w:cs="Calibri"/>
          <w:sz w:val="24"/>
          <w:szCs w:val="24"/>
        </w:rPr>
        <w:t>The work of the Integrity Council</w:t>
      </w:r>
      <w:r w:rsidR="00766691">
        <w:rPr>
          <w:rFonts w:ascii="Calibri" w:hAnsi="Calibri" w:cs="Calibri"/>
          <w:sz w:val="24"/>
          <w:szCs w:val="24"/>
        </w:rPr>
        <w:t xml:space="preserve"> is greatly enhanced and informed by an Expert Panel, consisting of twelve individuals renowned for their climate expertise, as well as 11 subject matter experts. </w:t>
      </w:r>
      <w:r w:rsidR="009E52C8">
        <w:rPr>
          <w:rFonts w:ascii="Calibri" w:hAnsi="Calibri" w:cs="Calibri"/>
          <w:sz w:val="24"/>
          <w:szCs w:val="24"/>
        </w:rPr>
        <w:t xml:space="preserve">Several of our governing board members who have deep knowledge of </w:t>
      </w:r>
      <w:r w:rsidR="007E44D4">
        <w:rPr>
          <w:rFonts w:ascii="Calibri" w:hAnsi="Calibri" w:cs="Calibri"/>
          <w:sz w:val="24"/>
          <w:szCs w:val="24"/>
        </w:rPr>
        <w:t xml:space="preserve">and experience in </w:t>
      </w:r>
      <w:r w:rsidR="009E52C8">
        <w:rPr>
          <w:rFonts w:ascii="Calibri" w:hAnsi="Calibri" w:cs="Calibri"/>
          <w:sz w:val="24"/>
          <w:szCs w:val="24"/>
        </w:rPr>
        <w:t>carbon markets serve on a committee of the board, known as the Standards Oversight Committee (</w:t>
      </w:r>
      <w:r w:rsidR="009E52C8" w:rsidRPr="009E52C8">
        <w:rPr>
          <w:rFonts w:ascii="Calibri" w:hAnsi="Calibri" w:cs="Calibri"/>
          <w:b/>
          <w:bCs/>
          <w:sz w:val="24"/>
          <w:szCs w:val="24"/>
        </w:rPr>
        <w:t>SOC</w:t>
      </w:r>
      <w:r w:rsidR="009E52C8">
        <w:rPr>
          <w:rFonts w:ascii="Calibri" w:hAnsi="Calibri" w:cs="Calibri"/>
          <w:sz w:val="24"/>
          <w:szCs w:val="24"/>
        </w:rPr>
        <w:t>).</w:t>
      </w:r>
    </w:p>
    <w:p w14:paraId="56E2DD0F" w14:textId="20897DBD" w:rsidR="00A2627F" w:rsidRDefault="003B2156" w:rsidP="00A2627F">
      <w:pPr>
        <w:jc w:val="both"/>
        <w:rPr>
          <w:rFonts w:ascii="Calibri" w:hAnsi="Calibri" w:cs="Calibri"/>
          <w:sz w:val="24"/>
          <w:szCs w:val="24"/>
        </w:rPr>
      </w:pPr>
      <w:r>
        <w:rPr>
          <w:rFonts w:ascii="Calibri" w:hAnsi="Calibri" w:cs="Calibri"/>
          <w:sz w:val="24"/>
          <w:szCs w:val="24"/>
        </w:rPr>
        <w:t>Based on inputs from our Expert Panel and SOC, as well as comments received</w:t>
      </w:r>
      <w:r w:rsidR="00422F7B">
        <w:rPr>
          <w:rFonts w:ascii="Calibri" w:hAnsi="Calibri" w:cs="Calibri"/>
          <w:sz w:val="24"/>
          <w:szCs w:val="24"/>
        </w:rPr>
        <w:t xml:space="preserve"> through a public consultation process, </w:t>
      </w:r>
      <w:r>
        <w:rPr>
          <w:rFonts w:ascii="Calibri" w:hAnsi="Calibri" w:cs="Calibri"/>
          <w:sz w:val="24"/>
          <w:szCs w:val="24"/>
        </w:rPr>
        <w:t>t</w:t>
      </w:r>
      <w:r w:rsidR="009E52C8">
        <w:rPr>
          <w:rFonts w:ascii="Calibri" w:hAnsi="Calibri" w:cs="Calibri"/>
          <w:sz w:val="24"/>
          <w:szCs w:val="24"/>
        </w:rPr>
        <w:t>he Integrity Council</w:t>
      </w:r>
      <w:r w:rsidR="00766691">
        <w:rPr>
          <w:rFonts w:ascii="Calibri" w:hAnsi="Calibri" w:cs="Calibri"/>
          <w:sz w:val="24"/>
          <w:szCs w:val="24"/>
        </w:rPr>
        <w:t xml:space="preserve"> </w:t>
      </w:r>
      <w:r w:rsidR="00572B3A">
        <w:rPr>
          <w:rFonts w:ascii="Calibri" w:hAnsi="Calibri" w:cs="Calibri"/>
          <w:sz w:val="24"/>
          <w:szCs w:val="24"/>
        </w:rPr>
        <w:t xml:space="preserve">established </w:t>
      </w:r>
      <w:r>
        <w:rPr>
          <w:rFonts w:ascii="Calibri" w:hAnsi="Calibri" w:cs="Calibri"/>
          <w:sz w:val="24"/>
          <w:szCs w:val="24"/>
        </w:rPr>
        <w:t>its</w:t>
      </w:r>
      <w:r w:rsidR="00A2627F">
        <w:rPr>
          <w:rFonts w:ascii="Calibri" w:hAnsi="Calibri" w:cs="Calibri"/>
          <w:sz w:val="24"/>
          <w:szCs w:val="24"/>
        </w:rPr>
        <w:t xml:space="preserve"> </w:t>
      </w:r>
      <w:r w:rsidR="00A2627F" w:rsidRPr="00872B99">
        <w:rPr>
          <w:rFonts w:ascii="Calibri" w:hAnsi="Calibri" w:cs="Calibri"/>
          <w:sz w:val="24"/>
          <w:szCs w:val="24"/>
        </w:rPr>
        <w:t>Core Carbon Principles (</w:t>
      </w:r>
      <w:r w:rsidR="00A2627F" w:rsidRPr="00A2627F">
        <w:rPr>
          <w:rFonts w:ascii="Calibri" w:hAnsi="Calibri" w:cs="Calibri"/>
          <w:b/>
          <w:bCs/>
          <w:sz w:val="24"/>
          <w:szCs w:val="24"/>
        </w:rPr>
        <w:t>CCPs</w:t>
      </w:r>
      <w:r w:rsidR="00A2627F" w:rsidRPr="005476FB">
        <w:rPr>
          <w:rFonts w:ascii="Calibri" w:hAnsi="Calibri" w:cs="Calibri"/>
          <w:sz w:val="24"/>
          <w:szCs w:val="24"/>
        </w:rPr>
        <w:t>)</w:t>
      </w:r>
      <w:r w:rsidR="00A2627F" w:rsidRPr="00872B99">
        <w:rPr>
          <w:rFonts w:ascii="Calibri" w:hAnsi="Calibri" w:cs="Calibri"/>
          <w:sz w:val="24"/>
          <w:szCs w:val="24"/>
        </w:rPr>
        <w:t xml:space="preserve"> in </w:t>
      </w:r>
      <w:r w:rsidR="00A2627F" w:rsidRPr="00850D07">
        <w:rPr>
          <w:rFonts w:ascii="Calibri" w:hAnsi="Calibri" w:cs="Calibri"/>
          <w:sz w:val="24"/>
          <w:szCs w:val="24"/>
        </w:rPr>
        <w:t>March</w:t>
      </w:r>
      <w:r w:rsidR="00A2627F" w:rsidRPr="00872B99">
        <w:rPr>
          <w:rFonts w:ascii="Calibri" w:hAnsi="Calibri" w:cs="Calibri"/>
          <w:sz w:val="24"/>
          <w:szCs w:val="24"/>
        </w:rPr>
        <w:t xml:space="preserve"> 2023, </w:t>
      </w:r>
      <w:r>
        <w:rPr>
          <w:rFonts w:ascii="Calibri" w:hAnsi="Calibri" w:cs="Calibri"/>
          <w:sz w:val="24"/>
          <w:szCs w:val="24"/>
        </w:rPr>
        <w:t>which</w:t>
      </w:r>
      <w:r w:rsidR="00A2627F">
        <w:rPr>
          <w:rFonts w:ascii="Calibri" w:hAnsi="Calibri" w:cs="Calibri"/>
          <w:sz w:val="24"/>
          <w:szCs w:val="24"/>
        </w:rPr>
        <w:t xml:space="preserve"> </w:t>
      </w:r>
      <w:r w:rsidR="00A2627F" w:rsidRPr="00872B99">
        <w:rPr>
          <w:rFonts w:ascii="Calibri" w:hAnsi="Calibri" w:cs="Calibri"/>
          <w:sz w:val="24"/>
          <w:szCs w:val="24"/>
        </w:rPr>
        <w:t>set a global benchmark for high</w:t>
      </w:r>
      <w:r w:rsidR="00A2627F">
        <w:rPr>
          <w:rFonts w:ascii="Calibri" w:hAnsi="Calibri" w:cs="Calibri"/>
          <w:sz w:val="24"/>
          <w:szCs w:val="24"/>
        </w:rPr>
        <w:t xml:space="preserve"> </w:t>
      </w:r>
      <w:r w:rsidR="00A2627F" w:rsidRPr="00872B99">
        <w:rPr>
          <w:rFonts w:ascii="Calibri" w:hAnsi="Calibri" w:cs="Calibri"/>
          <w:sz w:val="24"/>
          <w:szCs w:val="24"/>
        </w:rPr>
        <w:t>integrity</w:t>
      </w:r>
      <w:r w:rsidR="00850D07">
        <w:rPr>
          <w:rFonts w:ascii="Calibri" w:hAnsi="Calibri" w:cs="Calibri"/>
          <w:sz w:val="24"/>
          <w:szCs w:val="24"/>
        </w:rPr>
        <w:t xml:space="preserve"> and published its full Assessment Framework in July 2023</w:t>
      </w:r>
      <w:r w:rsidR="00A2627F" w:rsidRPr="00872B99">
        <w:rPr>
          <w:rFonts w:ascii="Calibri" w:hAnsi="Calibri" w:cs="Calibri"/>
          <w:sz w:val="24"/>
          <w:szCs w:val="24"/>
        </w:rPr>
        <w:t>.</w:t>
      </w:r>
      <w:r w:rsidR="00A2627F">
        <w:rPr>
          <w:rStyle w:val="FootnoteReference"/>
          <w:rFonts w:ascii="Calibri" w:hAnsi="Calibri" w:cs="Calibri"/>
          <w:sz w:val="24"/>
          <w:szCs w:val="24"/>
        </w:rPr>
        <w:footnoteReference w:id="4"/>
      </w:r>
      <w:r w:rsidR="00A2627F" w:rsidRPr="00872B99">
        <w:rPr>
          <w:rFonts w:ascii="Calibri" w:hAnsi="Calibri" w:cs="Calibri"/>
          <w:sz w:val="24"/>
          <w:szCs w:val="24"/>
        </w:rPr>
        <w:t xml:space="preserve"> T</w:t>
      </w:r>
      <w:r>
        <w:rPr>
          <w:rFonts w:ascii="Calibri" w:hAnsi="Calibri" w:cs="Calibri"/>
          <w:sz w:val="24"/>
          <w:szCs w:val="24"/>
        </w:rPr>
        <w:t>he</w:t>
      </w:r>
      <w:r w:rsidR="00A2627F" w:rsidRPr="00872B99">
        <w:rPr>
          <w:rFonts w:ascii="Calibri" w:hAnsi="Calibri" w:cs="Calibri"/>
          <w:sz w:val="24"/>
          <w:szCs w:val="24"/>
        </w:rPr>
        <w:t xml:space="preserve"> </w:t>
      </w:r>
      <w:r>
        <w:rPr>
          <w:rFonts w:ascii="Calibri" w:hAnsi="Calibri" w:cs="Calibri"/>
          <w:sz w:val="24"/>
          <w:szCs w:val="24"/>
        </w:rPr>
        <w:t>CCPs are</w:t>
      </w:r>
      <w:r w:rsidR="00A2627F" w:rsidRPr="00872B99">
        <w:rPr>
          <w:rFonts w:ascii="Calibri" w:hAnsi="Calibri" w:cs="Calibri"/>
          <w:sz w:val="24"/>
          <w:szCs w:val="24"/>
        </w:rPr>
        <w:t xml:space="preserve"> ten fundamental principles for high-quality carbon credits that create real, verifiable climate impact, based on the latest science and best practice. The CCP label is designed to build trust and unlock investment by making it easy for buyers to identify a high-integrity credit no matter which carbon-crediting program issued it, what kind of credit it is, or where it is generated.</w:t>
      </w:r>
      <w:r w:rsidR="001B24B0">
        <w:rPr>
          <w:rFonts w:ascii="Calibri" w:hAnsi="Calibri" w:cs="Calibri"/>
          <w:sz w:val="24"/>
          <w:szCs w:val="24"/>
        </w:rPr>
        <w:t xml:space="preserve"> The CC</w:t>
      </w:r>
      <w:r w:rsidR="002961F3">
        <w:rPr>
          <w:rFonts w:ascii="Calibri" w:hAnsi="Calibri" w:cs="Calibri"/>
          <w:sz w:val="24"/>
          <w:szCs w:val="24"/>
        </w:rPr>
        <w:t>Ps apply to both products—i.e., VCCs—as well as the carbon crediting programs that issue them.</w:t>
      </w:r>
      <w:r w:rsidR="002D0B8F">
        <w:rPr>
          <w:rFonts w:ascii="Calibri" w:hAnsi="Calibri" w:cs="Calibri"/>
          <w:sz w:val="24"/>
          <w:szCs w:val="24"/>
        </w:rPr>
        <w:t xml:space="preserve">  </w:t>
      </w:r>
    </w:p>
    <w:p w14:paraId="51D7D28E" w14:textId="181FEC84" w:rsidR="00A2627F" w:rsidRDefault="00A2627F" w:rsidP="00A2627F">
      <w:pPr>
        <w:jc w:val="both"/>
        <w:rPr>
          <w:rFonts w:ascii="Calibri" w:hAnsi="Calibri" w:cs="Calibri"/>
          <w:sz w:val="24"/>
          <w:szCs w:val="24"/>
        </w:rPr>
      </w:pPr>
      <w:r>
        <w:rPr>
          <w:rFonts w:ascii="Calibri" w:hAnsi="Calibri" w:cs="Calibri"/>
          <w:sz w:val="24"/>
          <w:szCs w:val="24"/>
        </w:rPr>
        <w:t xml:space="preserve">Equally important, the Integrity Council issued an Assessment Framework to accompany the CCPs. The Assessment Framework </w:t>
      </w:r>
      <w:r w:rsidR="00C0643A">
        <w:rPr>
          <w:rFonts w:ascii="Calibri" w:hAnsi="Calibri" w:cs="Calibri"/>
          <w:sz w:val="24"/>
          <w:szCs w:val="24"/>
        </w:rPr>
        <w:t xml:space="preserve">provides </w:t>
      </w:r>
      <w:r w:rsidR="00292FE4">
        <w:rPr>
          <w:rFonts w:ascii="Calibri" w:hAnsi="Calibri" w:cs="Calibri"/>
          <w:sz w:val="24"/>
          <w:szCs w:val="24"/>
        </w:rPr>
        <w:t>detailed criteria</w:t>
      </w:r>
      <w:r w:rsidR="00C0643A">
        <w:rPr>
          <w:rFonts w:ascii="Calibri" w:hAnsi="Calibri" w:cs="Calibri"/>
          <w:sz w:val="24"/>
          <w:szCs w:val="24"/>
        </w:rPr>
        <w:t xml:space="preserve"> </w:t>
      </w:r>
      <w:r w:rsidR="002961F3">
        <w:rPr>
          <w:rFonts w:ascii="Calibri" w:hAnsi="Calibri" w:cs="Calibri"/>
          <w:sz w:val="24"/>
          <w:szCs w:val="24"/>
        </w:rPr>
        <w:t xml:space="preserve">that will be applied to determine </w:t>
      </w:r>
      <w:r w:rsidR="00C0643A">
        <w:rPr>
          <w:rFonts w:ascii="Calibri" w:hAnsi="Calibri" w:cs="Calibri"/>
          <w:sz w:val="24"/>
          <w:szCs w:val="24"/>
        </w:rPr>
        <w:t xml:space="preserve">whether the CCPs are being met. </w:t>
      </w:r>
      <w:r w:rsidR="002961F3">
        <w:rPr>
          <w:rFonts w:ascii="Calibri" w:hAnsi="Calibri" w:cs="Calibri"/>
          <w:sz w:val="24"/>
          <w:szCs w:val="24"/>
        </w:rPr>
        <w:t xml:space="preserve"> The</w:t>
      </w:r>
      <w:r w:rsidR="00C0643A">
        <w:rPr>
          <w:rFonts w:ascii="Calibri" w:hAnsi="Calibri" w:cs="Calibri"/>
          <w:sz w:val="24"/>
          <w:szCs w:val="24"/>
        </w:rPr>
        <w:t xml:space="preserve"> Integrity Council also issued an Assessment Procedure </w:t>
      </w:r>
      <w:r w:rsidR="002961F3">
        <w:rPr>
          <w:rFonts w:ascii="Calibri" w:hAnsi="Calibri" w:cs="Calibri"/>
          <w:sz w:val="24"/>
          <w:szCs w:val="24"/>
        </w:rPr>
        <w:t>to provide guidance on how it will undertake its work.</w:t>
      </w:r>
    </w:p>
    <w:p w14:paraId="498FD580" w14:textId="77777777" w:rsidR="007B41F2" w:rsidRDefault="007B41F2" w:rsidP="00A2627F">
      <w:pPr>
        <w:jc w:val="both"/>
        <w:rPr>
          <w:rFonts w:ascii="Calibri" w:hAnsi="Calibri" w:cs="Calibri"/>
          <w:sz w:val="24"/>
          <w:szCs w:val="24"/>
        </w:rPr>
      </w:pPr>
    </w:p>
    <w:p w14:paraId="42E06691" w14:textId="5B95A965" w:rsidR="0071494D" w:rsidRDefault="0071494D" w:rsidP="0087273F">
      <w:pPr>
        <w:jc w:val="both"/>
        <w:rPr>
          <w:rFonts w:ascii="Calibri" w:hAnsi="Calibri" w:cs="Calibri"/>
          <w:sz w:val="24"/>
          <w:szCs w:val="24"/>
        </w:rPr>
      </w:pPr>
      <w:r>
        <w:rPr>
          <w:rFonts w:ascii="Calibri" w:hAnsi="Calibri" w:cs="Calibri"/>
          <w:sz w:val="24"/>
          <w:szCs w:val="24"/>
        </w:rPr>
        <w:t>In a broad sense the CCPs are akin to both intermediary regulation</w:t>
      </w:r>
      <w:r w:rsidR="00E807CD">
        <w:rPr>
          <w:rFonts w:ascii="Calibri" w:hAnsi="Calibri" w:cs="Calibri"/>
          <w:sz w:val="24"/>
          <w:szCs w:val="24"/>
        </w:rPr>
        <w:t xml:space="preserve"> and listing standards.  As intermediary regulation, they provide de</w:t>
      </w:r>
      <w:r w:rsidR="002D0B8F">
        <w:rPr>
          <w:rFonts w:ascii="Calibri" w:hAnsi="Calibri" w:cs="Calibri"/>
          <w:sz w:val="24"/>
          <w:szCs w:val="24"/>
        </w:rPr>
        <w:t xml:space="preserve">tailed </w:t>
      </w:r>
      <w:r>
        <w:rPr>
          <w:rFonts w:ascii="Calibri" w:hAnsi="Calibri" w:cs="Calibri"/>
          <w:sz w:val="24"/>
          <w:szCs w:val="24"/>
        </w:rPr>
        <w:t xml:space="preserve">governance rules that carbon crediting programs must meet to ensure that the credits they issue </w:t>
      </w:r>
      <w:r w:rsidR="00CB5144">
        <w:rPr>
          <w:rFonts w:ascii="Calibri" w:hAnsi="Calibri" w:cs="Calibri"/>
          <w:sz w:val="24"/>
          <w:szCs w:val="24"/>
        </w:rPr>
        <w:t>satisfy</w:t>
      </w:r>
      <w:r>
        <w:rPr>
          <w:rFonts w:ascii="Calibri" w:hAnsi="Calibri" w:cs="Calibri"/>
          <w:sz w:val="24"/>
          <w:szCs w:val="24"/>
        </w:rPr>
        <w:t xml:space="preserve"> key </w:t>
      </w:r>
      <w:r w:rsidR="00A05EAB">
        <w:rPr>
          <w:rFonts w:ascii="Calibri" w:hAnsi="Calibri" w:cs="Calibri"/>
          <w:sz w:val="24"/>
          <w:szCs w:val="24"/>
        </w:rPr>
        <w:t>integrity requirements</w:t>
      </w:r>
      <w:r w:rsidR="00E807CD">
        <w:rPr>
          <w:rFonts w:ascii="Calibri" w:hAnsi="Calibri" w:cs="Calibri"/>
          <w:sz w:val="24"/>
          <w:szCs w:val="24"/>
        </w:rPr>
        <w:t>. The</w:t>
      </w:r>
      <w:r w:rsidR="0087273F">
        <w:rPr>
          <w:rFonts w:ascii="Calibri" w:hAnsi="Calibri" w:cs="Calibri"/>
          <w:sz w:val="24"/>
          <w:szCs w:val="24"/>
        </w:rPr>
        <w:t>se</w:t>
      </w:r>
      <w:r w:rsidR="00E807CD">
        <w:rPr>
          <w:rFonts w:ascii="Calibri" w:hAnsi="Calibri" w:cs="Calibri"/>
          <w:sz w:val="24"/>
          <w:szCs w:val="24"/>
        </w:rPr>
        <w:t xml:space="preserve"> governance rules that apply to carbon crediting programs contain detailed requirements not only relating to internal governance of the programs, but also integrity and transparency requirements relating to the developers of the projects that underly the VCC. </w:t>
      </w:r>
      <w:r w:rsidR="0087273F">
        <w:rPr>
          <w:rFonts w:ascii="Calibri" w:hAnsi="Calibri" w:cs="Calibri"/>
          <w:sz w:val="24"/>
          <w:szCs w:val="24"/>
        </w:rPr>
        <w:t xml:space="preserve">As </w:t>
      </w:r>
      <w:r w:rsidR="00A05EAB">
        <w:rPr>
          <w:rFonts w:ascii="Calibri" w:hAnsi="Calibri" w:cs="Calibri"/>
          <w:sz w:val="24"/>
          <w:szCs w:val="24"/>
        </w:rPr>
        <w:t>listing standards</w:t>
      </w:r>
      <w:r w:rsidR="0087273F">
        <w:rPr>
          <w:rFonts w:ascii="Calibri" w:hAnsi="Calibri" w:cs="Calibri"/>
          <w:sz w:val="24"/>
          <w:szCs w:val="24"/>
        </w:rPr>
        <w:t xml:space="preserve">, the CCPs define </w:t>
      </w:r>
      <w:r w:rsidR="00A05EAB">
        <w:rPr>
          <w:rFonts w:ascii="Calibri" w:hAnsi="Calibri" w:cs="Calibri"/>
          <w:sz w:val="24"/>
          <w:szCs w:val="24"/>
        </w:rPr>
        <w:t xml:space="preserve">which categories of carbon </w:t>
      </w:r>
      <w:r w:rsidR="0087273F">
        <w:rPr>
          <w:rFonts w:ascii="Calibri" w:hAnsi="Calibri" w:cs="Calibri"/>
          <w:sz w:val="24"/>
          <w:szCs w:val="24"/>
        </w:rPr>
        <w:t>credits deliver genuine climate impact and thus qualify for</w:t>
      </w:r>
      <w:r w:rsidR="00A05EAB">
        <w:rPr>
          <w:rFonts w:ascii="Calibri" w:hAnsi="Calibri" w:cs="Calibri"/>
          <w:sz w:val="24"/>
          <w:szCs w:val="24"/>
        </w:rPr>
        <w:t xml:space="preserve"> the CCP label.</w:t>
      </w:r>
      <w:r w:rsidR="00CB5144">
        <w:rPr>
          <w:rFonts w:ascii="Calibri" w:hAnsi="Calibri" w:cs="Calibri"/>
          <w:sz w:val="24"/>
          <w:szCs w:val="24"/>
        </w:rPr>
        <w:t xml:space="preserve"> </w:t>
      </w:r>
      <w:r w:rsidR="00A05EAB">
        <w:rPr>
          <w:rFonts w:ascii="Calibri" w:hAnsi="Calibri" w:cs="Calibri"/>
          <w:sz w:val="24"/>
          <w:szCs w:val="24"/>
        </w:rPr>
        <w:t xml:space="preserve">In order for a carbon credit to trade with the CCP label, it must be </w:t>
      </w:r>
      <w:r w:rsidR="00CB5144">
        <w:rPr>
          <w:rFonts w:ascii="Calibri" w:hAnsi="Calibri" w:cs="Calibri"/>
          <w:sz w:val="24"/>
          <w:szCs w:val="24"/>
        </w:rPr>
        <w:t xml:space="preserve">both </w:t>
      </w:r>
      <w:r w:rsidR="00A05EAB">
        <w:rPr>
          <w:rFonts w:ascii="Calibri" w:hAnsi="Calibri" w:cs="Calibri"/>
          <w:sz w:val="24"/>
          <w:szCs w:val="24"/>
        </w:rPr>
        <w:t xml:space="preserve">issued by a carbon crediting program that has been granted the CCP </w:t>
      </w:r>
      <w:proofErr w:type="gramStart"/>
      <w:r w:rsidR="00A05EAB">
        <w:rPr>
          <w:rFonts w:ascii="Calibri" w:hAnsi="Calibri" w:cs="Calibri"/>
          <w:sz w:val="24"/>
          <w:szCs w:val="24"/>
        </w:rPr>
        <w:t>label, and</w:t>
      </w:r>
      <w:proofErr w:type="gramEnd"/>
      <w:r w:rsidR="00A05EAB">
        <w:rPr>
          <w:rFonts w:ascii="Calibri" w:hAnsi="Calibri" w:cs="Calibri"/>
          <w:sz w:val="24"/>
          <w:szCs w:val="24"/>
        </w:rPr>
        <w:t xml:space="preserve"> must be </w:t>
      </w:r>
      <w:r w:rsidR="00CB5144">
        <w:rPr>
          <w:rFonts w:ascii="Calibri" w:hAnsi="Calibri" w:cs="Calibri"/>
          <w:sz w:val="24"/>
          <w:szCs w:val="24"/>
        </w:rPr>
        <w:t xml:space="preserve">a VCC </w:t>
      </w:r>
      <w:r w:rsidR="007E120E">
        <w:rPr>
          <w:rFonts w:ascii="Calibri" w:hAnsi="Calibri" w:cs="Calibri"/>
          <w:sz w:val="24"/>
          <w:szCs w:val="24"/>
        </w:rPr>
        <w:t>from</w:t>
      </w:r>
      <w:r w:rsidR="00A05EAB">
        <w:rPr>
          <w:rFonts w:ascii="Calibri" w:hAnsi="Calibri" w:cs="Calibri"/>
          <w:sz w:val="24"/>
          <w:szCs w:val="24"/>
        </w:rPr>
        <w:t xml:space="preserve"> a CCP-approved </w:t>
      </w:r>
      <w:r w:rsidR="002D0B8F">
        <w:rPr>
          <w:rFonts w:ascii="Calibri" w:hAnsi="Calibri" w:cs="Calibri"/>
          <w:sz w:val="24"/>
          <w:szCs w:val="24"/>
        </w:rPr>
        <w:t xml:space="preserve">carbon </w:t>
      </w:r>
      <w:r w:rsidR="00A05EAB">
        <w:rPr>
          <w:rFonts w:ascii="Calibri" w:hAnsi="Calibri" w:cs="Calibri"/>
          <w:sz w:val="24"/>
          <w:szCs w:val="24"/>
        </w:rPr>
        <w:t xml:space="preserve">category.  </w:t>
      </w:r>
      <w:r>
        <w:rPr>
          <w:rFonts w:ascii="Calibri" w:hAnsi="Calibri" w:cs="Calibri"/>
          <w:sz w:val="24"/>
          <w:szCs w:val="24"/>
        </w:rPr>
        <w:t xml:space="preserve"> </w:t>
      </w:r>
    </w:p>
    <w:p w14:paraId="03C2D934" w14:textId="330071C3" w:rsidR="002D0B8F" w:rsidRDefault="00292FE4" w:rsidP="009C011A">
      <w:pPr>
        <w:jc w:val="both"/>
        <w:rPr>
          <w:rFonts w:ascii="Calibri" w:hAnsi="Calibri" w:cs="Calibri"/>
          <w:sz w:val="24"/>
          <w:szCs w:val="24"/>
        </w:rPr>
      </w:pPr>
      <w:r>
        <w:rPr>
          <w:rFonts w:ascii="Calibri" w:hAnsi="Calibri" w:cs="Calibri"/>
          <w:sz w:val="24"/>
          <w:szCs w:val="24"/>
        </w:rPr>
        <w:t xml:space="preserve">In </w:t>
      </w:r>
      <w:proofErr w:type="gramStart"/>
      <w:r>
        <w:rPr>
          <w:rFonts w:ascii="Calibri" w:hAnsi="Calibri" w:cs="Calibri"/>
          <w:sz w:val="24"/>
          <w:szCs w:val="24"/>
        </w:rPr>
        <w:t>all of</w:t>
      </w:r>
      <w:proofErr w:type="gramEnd"/>
      <w:r>
        <w:rPr>
          <w:rFonts w:ascii="Calibri" w:hAnsi="Calibri" w:cs="Calibri"/>
          <w:sz w:val="24"/>
          <w:szCs w:val="24"/>
        </w:rPr>
        <w:t xml:space="preserve"> its work the Integrity Council has sought to </w:t>
      </w:r>
      <w:r w:rsidR="0071740E">
        <w:rPr>
          <w:rFonts w:ascii="Calibri" w:hAnsi="Calibri" w:cs="Calibri"/>
          <w:sz w:val="24"/>
          <w:szCs w:val="24"/>
        </w:rPr>
        <w:t xml:space="preserve">operate as if it were a fully </w:t>
      </w:r>
      <w:r w:rsidR="0087273F">
        <w:rPr>
          <w:rFonts w:ascii="Calibri" w:hAnsi="Calibri" w:cs="Calibri"/>
          <w:sz w:val="24"/>
          <w:szCs w:val="24"/>
        </w:rPr>
        <w:t xml:space="preserve">recognized and </w:t>
      </w:r>
      <w:r w:rsidR="0071740E">
        <w:rPr>
          <w:rFonts w:ascii="Calibri" w:hAnsi="Calibri" w:cs="Calibri"/>
          <w:sz w:val="24"/>
          <w:szCs w:val="24"/>
        </w:rPr>
        <w:t xml:space="preserve">regulated self-regulatory organization. </w:t>
      </w:r>
      <w:r w:rsidR="007E120E">
        <w:rPr>
          <w:rFonts w:ascii="Calibri" w:hAnsi="Calibri" w:cs="Calibri"/>
          <w:sz w:val="24"/>
          <w:szCs w:val="24"/>
        </w:rPr>
        <w:t xml:space="preserve"> The Integrity Council has</w:t>
      </w:r>
      <w:r w:rsidR="0071740E">
        <w:rPr>
          <w:rFonts w:ascii="Calibri" w:hAnsi="Calibri" w:cs="Calibri"/>
          <w:sz w:val="24"/>
          <w:szCs w:val="24"/>
        </w:rPr>
        <w:t xml:space="preserve"> </w:t>
      </w:r>
      <w:r w:rsidR="0087273F">
        <w:rPr>
          <w:rFonts w:ascii="Calibri" w:hAnsi="Calibri" w:cs="Calibri"/>
          <w:sz w:val="24"/>
          <w:szCs w:val="24"/>
        </w:rPr>
        <w:t>embra</w:t>
      </w:r>
      <w:r w:rsidR="00814C01">
        <w:rPr>
          <w:rFonts w:ascii="Calibri" w:hAnsi="Calibri" w:cs="Calibri"/>
          <w:sz w:val="24"/>
          <w:szCs w:val="24"/>
        </w:rPr>
        <w:t>c</w:t>
      </w:r>
      <w:r w:rsidR="0087273F">
        <w:rPr>
          <w:rFonts w:ascii="Calibri" w:hAnsi="Calibri" w:cs="Calibri"/>
          <w:sz w:val="24"/>
          <w:szCs w:val="24"/>
        </w:rPr>
        <w:t xml:space="preserve">ed </w:t>
      </w:r>
      <w:r w:rsidR="0071740E">
        <w:rPr>
          <w:rFonts w:ascii="Calibri" w:hAnsi="Calibri" w:cs="Calibri"/>
          <w:sz w:val="24"/>
          <w:szCs w:val="24"/>
        </w:rPr>
        <w:t xml:space="preserve">regulatory practices, including </w:t>
      </w:r>
      <w:r w:rsidR="0087273F">
        <w:rPr>
          <w:rFonts w:ascii="Calibri" w:hAnsi="Calibri" w:cs="Calibri"/>
          <w:sz w:val="24"/>
          <w:szCs w:val="24"/>
        </w:rPr>
        <w:t>adopting</w:t>
      </w:r>
      <w:r w:rsidR="0071740E">
        <w:rPr>
          <w:rFonts w:ascii="Calibri" w:hAnsi="Calibri" w:cs="Calibri"/>
          <w:sz w:val="24"/>
          <w:szCs w:val="24"/>
        </w:rPr>
        <w:t xml:space="preserve"> a full notice and comment process for our CCPs, Assessment Framework and Assessment Procedure. We have also been fully </w:t>
      </w:r>
      <w:r w:rsidR="0071494D">
        <w:rPr>
          <w:rFonts w:ascii="Calibri" w:hAnsi="Calibri" w:cs="Calibri"/>
          <w:sz w:val="24"/>
          <w:szCs w:val="24"/>
        </w:rPr>
        <w:t xml:space="preserve">transparent concerning the entities that have applied for the CCP label and the processes we are undertaking to grant the CCP label to </w:t>
      </w:r>
      <w:proofErr w:type="gramStart"/>
      <w:r w:rsidR="0071494D">
        <w:rPr>
          <w:rFonts w:ascii="Calibri" w:hAnsi="Calibri" w:cs="Calibri"/>
          <w:sz w:val="24"/>
          <w:szCs w:val="24"/>
        </w:rPr>
        <w:t>particular carbon</w:t>
      </w:r>
      <w:proofErr w:type="gramEnd"/>
      <w:r w:rsidR="0071494D">
        <w:rPr>
          <w:rFonts w:ascii="Calibri" w:hAnsi="Calibri" w:cs="Calibri"/>
          <w:sz w:val="24"/>
          <w:szCs w:val="24"/>
        </w:rPr>
        <w:t xml:space="preserve"> categories. </w:t>
      </w:r>
      <w:r w:rsidR="002D0B8F">
        <w:rPr>
          <w:rFonts w:ascii="Calibri" w:hAnsi="Calibri" w:cs="Calibri"/>
          <w:sz w:val="24"/>
          <w:szCs w:val="24"/>
        </w:rPr>
        <w:t>It is particularly noteworthy</w:t>
      </w:r>
      <w:r w:rsidR="00541F5D">
        <w:rPr>
          <w:rFonts w:ascii="Calibri" w:hAnsi="Calibri" w:cs="Calibri"/>
          <w:sz w:val="24"/>
          <w:szCs w:val="24"/>
        </w:rPr>
        <w:t xml:space="preserve"> that carbon crediting programs representing over </w:t>
      </w:r>
      <w:r w:rsidR="00541F5D" w:rsidRPr="00850D07">
        <w:rPr>
          <w:rFonts w:ascii="Calibri" w:hAnsi="Calibri" w:cs="Calibri"/>
          <w:sz w:val="24"/>
          <w:szCs w:val="24"/>
        </w:rPr>
        <w:t>98 percent of the</w:t>
      </w:r>
      <w:r w:rsidR="0087273F" w:rsidRPr="00850D07">
        <w:rPr>
          <w:rFonts w:ascii="Calibri" w:hAnsi="Calibri" w:cs="Calibri"/>
          <w:sz w:val="24"/>
          <w:szCs w:val="24"/>
        </w:rPr>
        <w:t xml:space="preserve"> current</w:t>
      </w:r>
      <w:r w:rsidR="00541F5D" w:rsidRPr="00850D07">
        <w:rPr>
          <w:rFonts w:ascii="Calibri" w:hAnsi="Calibri" w:cs="Calibri"/>
          <w:sz w:val="24"/>
          <w:szCs w:val="24"/>
        </w:rPr>
        <w:t xml:space="preserve"> market</w:t>
      </w:r>
      <w:r w:rsidR="00541F5D">
        <w:rPr>
          <w:rFonts w:ascii="Calibri" w:hAnsi="Calibri" w:cs="Calibri"/>
          <w:sz w:val="24"/>
          <w:szCs w:val="24"/>
        </w:rPr>
        <w:t xml:space="preserve"> </w:t>
      </w:r>
      <w:r w:rsidR="00802C1A">
        <w:rPr>
          <w:rFonts w:ascii="Calibri" w:hAnsi="Calibri" w:cs="Calibri"/>
          <w:sz w:val="24"/>
          <w:szCs w:val="24"/>
        </w:rPr>
        <w:t xml:space="preserve">(based on retirements in 2023) </w:t>
      </w:r>
      <w:r w:rsidR="00541F5D">
        <w:rPr>
          <w:rFonts w:ascii="Calibri" w:hAnsi="Calibri" w:cs="Calibri"/>
          <w:sz w:val="24"/>
          <w:szCs w:val="24"/>
        </w:rPr>
        <w:t xml:space="preserve">have applied for the CCP label, evidencing the tremendous </w:t>
      </w:r>
      <w:r w:rsidR="00125BE4">
        <w:rPr>
          <w:rFonts w:ascii="Calibri" w:hAnsi="Calibri" w:cs="Calibri"/>
          <w:sz w:val="24"/>
          <w:szCs w:val="24"/>
        </w:rPr>
        <w:t>buy-in and support that the Integrity Council work has generate</w:t>
      </w:r>
      <w:r w:rsidR="00D111BD">
        <w:rPr>
          <w:rFonts w:ascii="Calibri" w:hAnsi="Calibri" w:cs="Calibri"/>
          <w:sz w:val="24"/>
          <w:szCs w:val="24"/>
        </w:rPr>
        <w:t>d</w:t>
      </w:r>
      <w:r w:rsidR="00125BE4">
        <w:rPr>
          <w:rFonts w:ascii="Calibri" w:hAnsi="Calibri" w:cs="Calibri"/>
          <w:sz w:val="24"/>
          <w:szCs w:val="24"/>
        </w:rPr>
        <w:t xml:space="preserve">.  </w:t>
      </w:r>
      <w:r w:rsidR="002D0B8F">
        <w:rPr>
          <w:rFonts w:ascii="Calibri" w:hAnsi="Calibri" w:cs="Calibri"/>
          <w:sz w:val="24"/>
          <w:szCs w:val="24"/>
        </w:rPr>
        <w:t xml:space="preserve">The Integrity Council is currently </w:t>
      </w:r>
      <w:r w:rsidR="009C011A">
        <w:rPr>
          <w:rFonts w:ascii="Calibri" w:hAnsi="Calibri" w:cs="Calibri"/>
          <w:sz w:val="24"/>
          <w:szCs w:val="24"/>
        </w:rPr>
        <w:t xml:space="preserve">assessing </w:t>
      </w:r>
      <w:r w:rsidR="007E120E">
        <w:rPr>
          <w:rFonts w:ascii="Calibri" w:hAnsi="Calibri" w:cs="Calibri"/>
          <w:sz w:val="24"/>
          <w:szCs w:val="24"/>
        </w:rPr>
        <w:t xml:space="preserve">the carbon crediting programs as well as over </w:t>
      </w:r>
      <w:r w:rsidR="00D15626" w:rsidRPr="005476FB">
        <w:rPr>
          <w:rFonts w:ascii="Calibri" w:hAnsi="Calibri" w:cs="Calibri"/>
          <w:sz w:val="24"/>
          <w:szCs w:val="24"/>
        </w:rPr>
        <w:t>100</w:t>
      </w:r>
      <w:r w:rsidR="00D15626" w:rsidRPr="00850D07">
        <w:rPr>
          <w:rFonts w:ascii="Calibri" w:hAnsi="Calibri" w:cs="Calibri"/>
          <w:sz w:val="24"/>
          <w:szCs w:val="24"/>
        </w:rPr>
        <w:t xml:space="preserve"> methodologies</w:t>
      </w:r>
      <w:r w:rsidR="00850D07">
        <w:rPr>
          <w:rFonts w:ascii="Calibri" w:hAnsi="Calibri" w:cs="Calibri"/>
          <w:sz w:val="24"/>
          <w:szCs w:val="24"/>
        </w:rPr>
        <w:t>, sorted into categories,</w:t>
      </w:r>
      <w:r w:rsidR="009C011A">
        <w:rPr>
          <w:rFonts w:ascii="Calibri" w:hAnsi="Calibri" w:cs="Calibri"/>
          <w:sz w:val="24"/>
          <w:szCs w:val="24"/>
        </w:rPr>
        <w:t xml:space="preserve"> to determine compliance with the CCP requirements.  We are conducting our assessments </w:t>
      </w:r>
      <w:r w:rsidR="0087273F">
        <w:rPr>
          <w:rFonts w:ascii="Calibri" w:hAnsi="Calibri" w:cs="Calibri"/>
          <w:sz w:val="24"/>
          <w:szCs w:val="24"/>
        </w:rPr>
        <w:t>methodically</w:t>
      </w:r>
      <w:r w:rsidR="009C011A">
        <w:rPr>
          <w:rFonts w:ascii="Calibri" w:hAnsi="Calibri" w:cs="Calibri"/>
          <w:sz w:val="24"/>
          <w:szCs w:val="24"/>
        </w:rPr>
        <w:t xml:space="preserve">, </w:t>
      </w:r>
      <w:r w:rsidR="0087273F">
        <w:rPr>
          <w:rFonts w:ascii="Calibri" w:hAnsi="Calibri" w:cs="Calibri"/>
          <w:sz w:val="24"/>
          <w:szCs w:val="24"/>
        </w:rPr>
        <w:t xml:space="preserve">both employing Integrity Council </w:t>
      </w:r>
      <w:r w:rsidR="00814C01">
        <w:rPr>
          <w:rFonts w:ascii="Calibri" w:hAnsi="Calibri" w:cs="Calibri"/>
          <w:sz w:val="24"/>
          <w:szCs w:val="24"/>
        </w:rPr>
        <w:t xml:space="preserve">independent experts and </w:t>
      </w:r>
      <w:r w:rsidR="0087273F">
        <w:rPr>
          <w:rFonts w:ascii="Calibri" w:hAnsi="Calibri" w:cs="Calibri"/>
          <w:sz w:val="24"/>
          <w:szCs w:val="24"/>
        </w:rPr>
        <w:t xml:space="preserve">staff as well as </w:t>
      </w:r>
      <w:r w:rsidR="009C011A">
        <w:rPr>
          <w:rFonts w:ascii="Calibri" w:hAnsi="Calibri" w:cs="Calibri"/>
          <w:sz w:val="24"/>
          <w:szCs w:val="24"/>
        </w:rPr>
        <w:t xml:space="preserve">Multi-Stakeholder Working Groups </w:t>
      </w:r>
      <w:r w:rsidR="00205AD1">
        <w:rPr>
          <w:rFonts w:ascii="Calibri" w:hAnsi="Calibri" w:cs="Calibri"/>
          <w:sz w:val="24"/>
          <w:szCs w:val="24"/>
        </w:rPr>
        <w:t>(</w:t>
      </w:r>
      <w:r w:rsidR="00205AD1" w:rsidRPr="00205AD1">
        <w:rPr>
          <w:rFonts w:ascii="Calibri" w:hAnsi="Calibri" w:cs="Calibri"/>
          <w:b/>
          <w:bCs/>
          <w:sz w:val="24"/>
          <w:szCs w:val="24"/>
        </w:rPr>
        <w:t>MSW</w:t>
      </w:r>
      <w:r w:rsidR="00CE5D7C">
        <w:rPr>
          <w:rFonts w:ascii="Calibri" w:hAnsi="Calibri" w:cs="Calibri"/>
          <w:b/>
          <w:bCs/>
          <w:sz w:val="24"/>
          <w:szCs w:val="24"/>
        </w:rPr>
        <w:t>G</w:t>
      </w:r>
      <w:r w:rsidR="00205AD1" w:rsidRPr="00205AD1">
        <w:rPr>
          <w:rFonts w:ascii="Calibri" w:hAnsi="Calibri" w:cs="Calibri"/>
          <w:b/>
          <w:bCs/>
          <w:sz w:val="24"/>
          <w:szCs w:val="24"/>
        </w:rPr>
        <w:t>s</w:t>
      </w:r>
      <w:r w:rsidR="00205AD1">
        <w:rPr>
          <w:rFonts w:ascii="Calibri" w:hAnsi="Calibri" w:cs="Calibri"/>
          <w:sz w:val="24"/>
          <w:szCs w:val="24"/>
        </w:rPr>
        <w:t xml:space="preserve">) </w:t>
      </w:r>
      <w:r w:rsidR="00CE5D7C">
        <w:rPr>
          <w:rFonts w:ascii="Calibri" w:hAnsi="Calibri" w:cs="Calibri"/>
          <w:sz w:val="24"/>
          <w:szCs w:val="24"/>
        </w:rPr>
        <w:t>in the case of categories of credits that could benefit from broader expertise and perspectives.</w:t>
      </w:r>
      <w:r w:rsidR="009C011A">
        <w:rPr>
          <w:rFonts w:ascii="Calibri" w:hAnsi="Calibri" w:cs="Calibri"/>
          <w:sz w:val="24"/>
          <w:szCs w:val="24"/>
        </w:rPr>
        <w:t xml:space="preserve"> The recommendations of the</w:t>
      </w:r>
      <w:r w:rsidR="00CE5D7C">
        <w:rPr>
          <w:rFonts w:ascii="Calibri" w:hAnsi="Calibri" w:cs="Calibri"/>
          <w:sz w:val="24"/>
          <w:szCs w:val="24"/>
        </w:rPr>
        <w:t xml:space="preserve"> </w:t>
      </w:r>
      <w:r w:rsidR="00814C01">
        <w:rPr>
          <w:rFonts w:ascii="Calibri" w:hAnsi="Calibri" w:cs="Calibri"/>
          <w:sz w:val="24"/>
          <w:szCs w:val="24"/>
        </w:rPr>
        <w:t>independent experts</w:t>
      </w:r>
      <w:r w:rsidR="00D20BAC">
        <w:rPr>
          <w:rFonts w:ascii="Calibri" w:hAnsi="Calibri" w:cs="Calibri"/>
          <w:sz w:val="24"/>
          <w:szCs w:val="24"/>
        </w:rPr>
        <w:t>, Integrity Council</w:t>
      </w:r>
      <w:r w:rsidR="00814C01">
        <w:rPr>
          <w:rFonts w:ascii="Calibri" w:hAnsi="Calibri" w:cs="Calibri"/>
          <w:sz w:val="24"/>
          <w:szCs w:val="24"/>
        </w:rPr>
        <w:t xml:space="preserve"> </w:t>
      </w:r>
      <w:r w:rsidR="00CE5D7C">
        <w:rPr>
          <w:rFonts w:ascii="Calibri" w:hAnsi="Calibri" w:cs="Calibri"/>
          <w:sz w:val="24"/>
          <w:szCs w:val="24"/>
        </w:rPr>
        <w:t>staff and the MSWGs</w:t>
      </w:r>
      <w:r w:rsidR="00205AD1">
        <w:rPr>
          <w:rFonts w:ascii="Calibri" w:hAnsi="Calibri" w:cs="Calibri"/>
          <w:sz w:val="24"/>
          <w:szCs w:val="24"/>
        </w:rPr>
        <w:t xml:space="preserve"> will be considered by the SOC and ultimately</w:t>
      </w:r>
      <w:r w:rsidR="00CE5D7C">
        <w:rPr>
          <w:rFonts w:ascii="Calibri" w:hAnsi="Calibri" w:cs="Calibri"/>
          <w:sz w:val="24"/>
          <w:szCs w:val="24"/>
        </w:rPr>
        <w:t xml:space="preserve"> determined</w:t>
      </w:r>
      <w:r w:rsidR="00205AD1">
        <w:rPr>
          <w:rFonts w:ascii="Calibri" w:hAnsi="Calibri" w:cs="Calibri"/>
          <w:sz w:val="24"/>
          <w:szCs w:val="24"/>
        </w:rPr>
        <w:t xml:space="preserve"> by the Governing Board of the Integrity Council.</w:t>
      </w:r>
    </w:p>
    <w:p w14:paraId="0445A9AF" w14:textId="6EC41671" w:rsidR="00D61F61" w:rsidRDefault="00D61F61" w:rsidP="009C011A">
      <w:pPr>
        <w:jc w:val="both"/>
        <w:rPr>
          <w:rFonts w:ascii="Calibri" w:hAnsi="Calibri" w:cs="Calibri"/>
          <w:sz w:val="24"/>
          <w:szCs w:val="24"/>
        </w:rPr>
      </w:pPr>
      <w:r>
        <w:rPr>
          <w:rFonts w:ascii="Calibri" w:hAnsi="Calibri" w:cs="Calibri"/>
          <w:sz w:val="24"/>
          <w:szCs w:val="24"/>
        </w:rPr>
        <w:t xml:space="preserve">Further, in line with traditional self-regulatory organizations, the Integrity Council will periodically examine the carbon crediting programs for adherence to the CCPs and will take action in the event of </w:t>
      </w:r>
      <w:proofErr w:type="spellStart"/>
      <w:proofErr w:type="gramStart"/>
      <w:r>
        <w:rPr>
          <w:rFonts w:ascii="Calibri" w:hAnsi="Calibri" w:cs="Calibri"/>
          <w:sz w:val="24"/>
          <w:szCs w:val="24"/>
        </w:rPr>
        <w:t>non</w:t>
      </w:r>
      <w:r w:rsidR="00D111BD">
        <w:rPr>
          <w:rFonts w:ascii="Calibri" w:hAnsi="Calibri" w:cs="Calibri"/>
          <w:sz w:val="24"/>
          <w:szCs w:val="24"/>
        </w:rPr>
        <w:t xml:space="preserve"> </w:t>
      </w:r>
      <w:r>
        <w:rPr>
          <w:rFonts w:ascii="Calibri" w:hAnsi="Calibri" w:cs="Calibri"/>
          <w:sz w:val="24"/>
          <w:szCs w:val="24"/>
        </w:rPr>
        <w:t>compliance</w:t>
      </w:r>
      <w:proofErr w:type="spellEnd"/>
      <w:proofErr w:type="gramEnd"/>
      <w:r>
        <w:rPr>
          <w:rFonts w:ascii="Calibri" w:hAnsi="Calibri" w:cs="Calibri"/>
          <w:sz w:val="24"/>
          <w:szCs w:val="24"/>
        </w:rPr>
        <w:t xml:space="preserve">.  The Integrity Council will also take stock of any information brought to its attention concerning adherence to the CCPs as they relate to carbon crediting programs or carbon categories.  Finally, the Integrity Council will continuously curate and update the CCPs and Assessment Framework based on best practices and best science.  We anticipate this updating process will occur every two to three years.  The process of improving the framework is already </w:t>
      </w:r>
      <w:r>
        <w:rPr>
          <w:rFonts w:ascii="Calibri" w:hAnsi="Calibri" w:cs="Calibri"/>
          <w:sz w:val="24"/>
          <w:szCs w:val="24"/>
        </w:rPr>
        <w:lastRenderedPageBreak/>
        <w:t xml:space="preserve">underway, with Continuous Improvement Work Programs </w:t>
      </w:r>
      <w:r w:rsidR="00E06738">
        <w:rPr>
          <w:rFonts w:ascii="Calibri" w:hAnsi="Calibri" w:cs="Calibri"/>
          <w:sz w:val="24"/>
          <w:szCs w:val="24"/>
        </w:rPr>
        <w:t>(</w:t>
      </w:r>
      <w:r w:rsidR="00E06738" w:rsidRPr="00E06738">
        <w:rPr>
          <w:rFonts w:ascii="Calibri" w:hAnsi="Calibri" w:cs="Calibri"/>
          <w:b/>
          <w:bCs/>
          <w:sz w:val="24"/>
          <w:szCs w:val="24"/>
        </w:rPr>
        <w:t>CIW</w:t>
      </w:r>
      <w:r w:rsidR="00814C01">
        <w:rPr>
          <w:rFonts w:ascii="Calibri" w:hAnsi="Calibri" w:cs="Calibri"/>
          <w:b/>
          <w:bCs/>
          <w:sz w:val="24"/>
          <w:szCs w:val="24"/>
        </w:rPr>
        <w:t>P</w:t>
      </w:r>
      <w:r w:rsidR="00E06738" w:rsidRPr="00E06738">
        <w:rPr>
          <w:rFonts w:ascii="Calibri" w:hAnsi="Calibri" w:cs="Calibri"/>
          <w:b/>
          <w:bCs/>
          <w:sz w:val="24"/>
          <w:szCs w:val="24"/>
        </w:rPr>
        <w:t>s)</w:t>
      </w:r>
      <w:r w:rsidR="00E06738">
        <w:rPr>
          <w:rFonts w:ascii="Calibri" w:hAnsi="Calibri" w:cs="Calibri"/>
          <w:sz w:val="24"/>
          <w:szCs w:val="24"/>
        </w:rPr>
        <w:t xml:space="preserve"> having been formed to consider such mat</w:t>
      </w:r>
      <w:r w:rsidR="00D20BAC">
        <w:rPr>
          <w:rFonts w:ascii="Calibri" w:hAnsi="Calibri" w:cs="Calibri"/>
          <w:sz w:val="24"/>
          <w:szCs w:val="24"/>
        </w:rPr>
        <w:t>t</w:t>
      </w:r>
      <w:r w:rsidR="00E06738">
        <w:rPr>
          <w:rFonts w:ascii="Calibri" w:hAnsi="Calibri" w:cs="Calibri"/>
          <w:sz w:val="24"/>
          <w:szCs w:val="24"/>
        </w:rPr>
        <w:t>ers as Paris Alignment; Sustainable Development Benefits and Social Safeguards; Permanence; Digital Measurement, Reporting and Validation; and Market Transparency, Standardization and Scalability. Other CIW</w:t>
      </w:r>
      <w:r w:rsidR="00814C01">
        <w:rPr>
          <w:rFonts w:ascii="Calibri" w:hAnsi="Calibri" w:cs="Calibri"/>
          <w:sz w:val="24"/>
          <w:szCs w:val="24"/>
        </w:rPr>
        <w:t>P</w:t>
      </w:r>
      <w:r w:rsidR="00E06738">
        <w:rPr>
          <w:rFonts w:ascii="Calibri" w:hAnsi="Calibri" w:cs="Calibri"/>
          <w:sz w:val="24"/>
          <w:szCs w:val="24"/>
        </w:rPr>
        <w:t xml:space="preserve">s will be formed over time.  </w:t>
      </w:r>
    </w:p>
    <w:p w14:paraId="3D8AE1B5" w14:textId="1583501D" w:rsidR="0023639E" w:rsidRDefault="0023639E" w:rsidP="00A2627F">
      <w:pPr>
        <w:jc w:val="both"/>
        <w:rPr>
          <w:rFonts w:ascii="Calibri" w:hAnsi="Calibri" w:cs="Calibri"/>
          <w:sz w:val="24"/>
          <w:szCs w:val="24"/>
        </w:rPr>
      </w:pPr>
      <w:r>
        <w:rPr>
          <w:rFonts w:ascii="Calibri" w:hAnsi="Calibri" w:cs="Calibri"/>
          <w:sz w:val="24"/>
          <w:szCs w:val="24"/>
        </w:rPr>
        <w:tab/>
        <w:t>2.</w:t>
      </w:r>
      <w:r w:rsidR="007B41F2">
        <w:rPr>
          <w:rFonts w:ascii="Calibri" w:hAnsi="Calibri" w:cs="Calibri"/>
          <w:sz w:val="24"/>
          <w:szCs w:val="24"/>
        </w:rPr>
        <w:t xml:space="preserve">  </w:t>
      </w:r>
      <w:r>
        <w:rPr>
          <w:rFonts w:ascii="Calibri" w:hAnsi="Calibri" w:cs="Calibri"/>
          <w:sz w:val="24"/>
          <w:szCs w:val="24"/>
        </w:rPr>
        <w:t xml:space="preserve"> Recognition of the Integrity Council’s CCPs</w:t>
      </w:r>
    </w:p>
    <w:p w14:paraId="120F02A3" w14:textId="5F21FB9A" w:rsidR="00C301F8" w:rsidRDefault="00205AD1" w:rsidP="00A2627F">
      <w:pPr>
        <w:jc w:val="both"/>
        <w:rPr>
          <w:rFonts w:ascii="Calibri" w:hAnsi="Calibri" w:cs="Calibri"/>
          <w:sz w:val="24"/>
          <w:szCs w:val="24"/>
        </w:rPr>
      </w:pPr>
      <w:r>
        <w:rPr>
          <w:rFonts w:ascii="Calibri" w:hAnsi="Calibri" w:cs="Calibri"/>
          <w:sz w:val="24"/>
          <w:szCs w:val="24"/>
        </w:rPr>
        <w:t xml:space="preserve">Governments </w:t>
      </w:r>
      <w:r w:rsidR="004859B1">
        <w:rPr>
          <w:rFonts w:ascii="Calibri" w:hAnsi="Calibri" w:cs="Calibri"/>
          <w:sz w:val="24"/>
          <w:szCs w:val="24"/>
        </w:rPr>
        <w:t xml:space="preserve">establishing </w:t>
      </w:r>
      <w:r>
        <w:rPr>
          <w:rFonts w:ascii="Calibri" w:hAnsi="Calibri" w:cs="Calibri"/>
          <w:sz w:val="24"/>
          <w:szCs w:val="24"/>
        </w:rPr>
        <w:t xml:space="preserve">VCMs have been looking to the CCPs as </w:t>
      </w:r>
      <w:r w:rsidR="00C301F8">
        <w:rPr>
          <w:rFonts w:ascii="Calibri" w:hAnsi="Calibri" w:cs="Calibri"/>
          <w:sz w:val="24"/>
          <w:szCs w:val="24"/>
        </w:rPr>
        <w:t>an</w:t>
      </w:r>
      <w:r>
        <w:rPr>
          <w:rFonts w:ascii="Calibri" w:hAnsi="Calibri" w:cs="Calibri"/>
          <w:sz w:val="24"/>
          <w:szCs w:val="24"/>
        </w:rPr>
        <w:t xml:space="preserve"> international standard that can be incorporated into their frameworks.  The U.K. government has announced that it intends to </w:t>
      </w:r>
      <w:r w:rsidR="00814C01">
        <w:rPr>
          <w:rFonts w:ascii="Calibri" w:hAnsi="Calibri" w:cs="Calibri"/>
          <w:sz w:val="24"/>
          <w:szCs w:val="24"/>
        </w:rPr>
        <w:t xml:space="preserve">consult on </w:t>
      </w:r>
      <w:r>
        <w:rPr>
          <w:rFonts w:ascii="Calibri" w:hAnsi="Calibri" w:cs="Calibri"/>
          <w:sz w:val="24"/>
          <w:szCs w:val="24"/>
        </w:rPr>
        <w:t>endorse</w:t>
      </w:r>
      <w:r w:rsidR="00814C01">
        <w:rPr>
          <w:rFonts w:ascii="Calibri" w:hAnsi="Calibri" w:cs="Calibri"/>
          <w:sz w:val="24"/>
          <w:szCs w:val="24"/>
        </w:rPr>
        <w:t>ment of</w:t>
      </w:r>
      <w:r>
        <w:rPr>
          <w:rFonts w:ascii="Calibri" w:hAnsi="Calibri" w:cs="Calibri"/>
          <w:sz w:val="24"/>
          <w:szCs w:val="24"/>
        </w:rPr>
        <w:t xml:space="preserve"> the CCPs and consider how to reflect them in policy, </w:t>
      </w:r>
      <w:r w:rsidR="00C301F8">
        <w:rPr>
          <w:rFonts w:ascii="Calibri" w:hAnsi="Calibri" w:cs="Calibri"/>
          <w:sz w:val="24"/>
          <w:szCs w:val="24"/>
        </w:rPr>
        <w:t>regulation,</w:t>
      </w:r>
      <w:r>
        <w:rPr>
          <w:rFonts w:ascii="Calibri" w:hAnsi="Calibri" w:cs="Calibri"/>
          <w:sz w:val="24"/>
          <w:szCs w:val="24"/>
        </w:rPr>
        <w:t xml:space="preserve"> and guidance.  The African Carbon </w:t>
      </w:r>
      <w:r w:rsidR="00802C1A">
        <w:rPr>
          <w:rFonts w:ascii="Calibri" w:hAnsi="Calibri" w:cs="Calibri"/>
          <w:sz w:val="24"/>
          <w:szCs w:val="24"/>
        </w:rPr>
        <w:t xml:space="preserve">Markets </w:t>
      </w:r>
      <w:r>
        <w:rPr>
          <w:rFonts w:ascii="Calibri" w:hAnsi="Calibri" w:cs="Calibri"/>
          <w:sz w:val="24"/>
          <w:szCs w:val="24"/>
        </w:rPr>
        <w:t xml:space="preserve">Initiative has said it </w:t>
      </w:r>
      <w:r w:rsidR="00D20BAC" w:rsidRPr="00850D07">
        <w:rPr>
          <w:rFonts w:ascii="Calibri" w:hAnsi="Calibri" w:cs="Calibri"/>
          <w:sz w:val="24"/>
          <w:szCs w:val="24"/>
        </w:rPr>
        <w:t>r</w:t>
      </w:r>
      <w:r w:rsidR="00D20BAC">
        <w:rPr>
          <w:rFonts w:ascii="Calibri" w:hAnsi="Calibri" w:cs="Calibri"/>
          <w:sz w:val="24"/>
          <w:szCs w:val="24"/>
        </w:rPr>
        <w:t>equires project developers to adhere to</w:t>
      </w:r>
      <w:r>
        <w:rPr>
          <w:rFonts w:ascii="Calibri" w:hAnsi="Calibri" w:cs="Calibri"/>
          <w:sz w:val="24"/>
          <w:szCs w:val="24"/>
        </w:rPr>
        <w:t xml:space="preserve"> the CCPs</w:t>
      </w:r>
      <w:r w:rsidR="00C301F8">
        <w:rPr>
          <w:rFonts w:ascii="Calibri" w:hAnsi="Calibri" w:cs="Calibri"/>
          <w:sz w:val="24"/>
          <w:szCs w:val="24"/>
        </w:rPr>
        <w:t xml:space="preserve"> and the Monetary Authority of Singapore is exploring how to align its transition credits with the CCPs.  </w:t>
      </w:r>
    </w:p>
    <w:p w14:paraId="64646FDA" w14:textId="1DE635CE" w:rsidR="00292FE4" w:rsidRDefault="00C301F8" w:rsidP="00E823B6">
      <w:pPr>
        <w:jc w:val="both"/>
        <w:rPr>
          <w:rFonts w:ascii="Calibri" w:hAnsi="Calibri" w:cs="Calibri"/>
          <w:sz w:val="24"/>
          <w:szCs w:val="24"/>
        </w:rPr>
      </w:pPr>
      <w:r>
        <w:rPr>
          <w:rFonts w:ascii="Calibri" w:hAnsi="Calibri" w:cs="Calibri"/>
          <w:sz w:val="24"/>
          <w:szCs w:val="24"/>
        </w:rPr>
        <w:t xml:space="preserve">We believe this reliance on the Integrity Council’s work is well placed.  It is a recognition of the robust, transparent, and regulated-like process we have undertaken.  It is also </w:t>
      </w:r>
      <w:r w:rsidR="00594D71">
        <w:rPr>
          <w:rFonts w:ascii="Calibri" w:hAnsi="Calibri" w:cs="Calibri"/>
          <w:sz w:val="24"/>
          <w:szCs w:val="24"/>
        </w:rPr>
        <w:t>a recognition of</w:t>
      </w:r>
      <w:r w:rsidR="00E823B6">
        <w:rPr>
          <w:rFonts w:ascii="Calibri" w:hAnsi="Calibri" w:cs="Calibri"/>
          <w:sz w:val="24"/>
          <w:szCs w:val="24"/>
        </w:rPr>
        <w:t xml:space="preserve"> t</w:t>
      </w:r>
      <w:r w:rsidR="00594D71">
        <w:rPr>
          <w:rFonts w:ascii="Calibri" w:hAnsi="Calibri" w:cs="Calibri"/>
          <w:sz w:val="24"/>
          <w:szCs w:val="24"/>
        </w:rPr>
        <w:t>he</w:t>
      </w:r>
      <w:r w:rsidR="00FC27EB">
        <w:rPr>
          <w:rFonts w:ascii="Calibri" w:hAnsi="Calibri" w:cs="Calibri"/>
          <w:sz w:val="24"/>
          <w:szCs w:val="24"/>
        </w:rPr>
        <w:t xml:space="preserve"> palpable</w:t>
      </w:r>
      <w:r w:rsidR="00594D71">
        <w:rPr>
          <w:rFonts w:ascii="Calibri" w:hAnsi="Calibri" w:cs="Calibri"/>
          <w:sz w:val="24"/>
          <w:szCs w:val="24"/>
        </w:rPr>
        <w:t xml:space="preserve"> benefits of </w:t>
      </w:r>
      <w:r w:rsidR="00FC27EB">
        <w:rPr>
          <w:rFonts w:ascii="Calibri" w:hAnsi="Calibri" w:cs="Calibri"/>
          <w:sz w:val="24"/>
          <w:szCs w:val="24"/>
        </w:rPr>
        <w:t xml:space="preserve">employing </w:t>
      </w:r>
      <w:r w:rsidR="00594D71">
        <w:rPr>
          <w:rFonts w:ascii="Calibri" w:hAnsi="Calibri" w:cs="Calibri"/>
          <w:sz w:val="24"/>
          <w:szCs w:val="24"/>
        </w:rPr>
        <w:t>a public-private partnership to address one of the most existential challenges of our time</w:t>
      </w:r>
      <w:r w:rsidR="00850D07">
        <w:rPr>
          <w:rFonts w:ascii="Calibri" w:hAnsi="Calibri" w:cs="Calibri"/>
          <w:sz w:val="24"/>
          <w:szCs w:val="24"/>
        </w:rPr>
        <w:t xml:space="preserve">: </w:t>
      </w:r>
      <w:r w:rsidR="00594D71">
        <w:rPr>
          <w:rFonts w:ascii="Calibri" w:hAnsi="Calibri" w:cs="Calibri"/>
          <w:sz w:val="24"/>
          <w:szCs w:val="24"/>
        </w:rPr>
        <w:t>climate change.  The private sector has devoted considerable resources and expertise that is not available in the public sector</w:t>
      </w:r>
      <w:r w:rsidR="00850D07">
        <w:rPr>
          <w:rFonts w:ascii="Calibri" w:hAnsi="Calibri" w:cs="Calibri"/>
          <w:sz w:val="24"/>
          <w:szCs w:val="24"/>
        </w:rPr>
        <w:t xml:space="preserve"> - </w:t>
      </w:r>
      <w:r w:rsidR="008A6FBA">
        <w:rPr>
          <w:rFonts w:ascii="Calibri" w:hAnsi="Calibri" w:cs="Calibri"/>
          <w:sz w:val="24"/>
          <w:szCs w:val="24"/>
        </w:rPr>
        <w:t>at least not in the timeframe required</w:t>
      </w:r>
      <w:r w:rsidR="00850D07">
        <w:rPr>
          <w:rFonts w:ascii="Calibri" w:hAnsi="Calibri" w:cs="Calibri"/>
          <w:sz w:val="24"/>
          <w:szCs w:val="24"/>
        </w:rPr>
        <w:t xml:space="preserve"> -</w:t>
      </w:r>
      <w:r w:rsidR="00594D71">
        <w:rPr>
          <w:rFonts w:ascii="Calibri" w:hAnsi="Calibri" w:cs="Calibri"/>
          <w:sz w:val="24"/>
          <w:szCs w:val="24"/>
        </w:rPr>
        <w:t xml:space="preserve"> to establish international standards for VCCs and the VCM.  </w:t>
      </w:r>
      <w:r w:rsidR="008A6FBA">
        <w:rPr>
          <w:rFonts w:ascii="Calibri" w:hAnsi="Calibri" w:cs="Calibri"/>
          <w:sz w:val="24"/>
          <w:szCs w:val="24"/>
        </w:rPr>
        <w:t xml:space="preserve"> But working alongside </w:t>
      </w:r>
      <w:r w:rsidR="00944877">
        <w:rPr>
          <w:rFonts w:ascii="Calibri" w:hAnsi="Calibri" w:cs="Calibri"/>
          <w:sz w:val="24"/>
          <w:szCs w:val="24"/>
        </w:rPr>
        <w:t xml:space="preserve">and in cooperation with </w:t>
      </w:r>
      <w:r w:rsidR="008A6FBA">
        <w:rPr>
          <w:rFonts w:ascii="Calibri" w:hAnsi="Calibri" w:cs="Calibri"/>
          <w:sz w:val="24"/>
          <w:szCs w:val="24"/>
        </w:rPr>
        <w:t xml:space="preserve">governments, we believe </w:t>
      </w:r>
      <w:r w:rsidR="00FC27EB">
        <w:rPr>
          <w:rFonts w:ascii="Calibri" w:hAnsi="Calibri" w:cs="Calibri"/>
          <w:sz w:val="24"/>
          <w:szCs w:val="24"/>
        </w:rPr>
        <w:t xml:space="preserve">the Integrity Council </w:t>
      </w:r>
      <w:r w:rsidR="00340D2D">
        <w:rPr>
          <w:rFonts w:ascii="Calibri" w:hAnsi="Calibri" w:cs="Calibri"/>
          <w:sz w:val="24"/>
          <w:szCs w:val="24"/>
        </w:rPr>
        <w:t>make</w:t>
      </w:r>
      <w:r w:rsidR="00814C01">
        <w:rPr>
          <w:rFonts w:ascii="Calibri" w:hAnsi="Calibri" w:cs="Calibri"/>
          <w:sz w:val="24"/>
          <w:szCs w:val="24"/>
        </w:rPr>
        <w:t>s</w:t>
      </w:r>
      <w:r w:rsidR="00340D2D">
        <w:rPr>
          <w:rFonts w:ascii="Calibri" w:hAnsi="Calibri" w:cs="Calibri"/>
          <w:sz w:val="24"/>
          <w:szCs w:val="24"/>
        </w:rPr>
        <w:t xml:space="preserve"> </w:t>
      </w:r>
      <w:r w:rsidR="00944877">
        <w:rPr>
          <w:rFonts w:ascii="Calibri" w:hAnsi="Calibri" w:cs="Calibri"/>
          <w:sz w:val="24"/>
          <w:szCs w:val="24"/>
        </w:rPr>
        <w:t xml:space="preserve">urgently needed </w:t>
      </w:r>
      <w:r w:rsidR="00340D2D">
        <w:rPr>
          <w:rFonts w:ascii="Calibri" w:hAnsi="Calibri" w:cs="Calibri"/>
          <w:sz w:val="24"/>
          <w:szCs w:val="24"/>
        </w:rPr>
        <w:t>progress.</w:t>
      </w:r>
      <w:r w:rsidR="00944877">
        <w:rPr>
          <w:rFonts w:ascii="Calibri" w:hAnsi="Calibri" w:cs="Calibri"/>
          <w:sz w:val="24"/>
          <w:szCs w:val="24"/>
        </w:rPr>
        <w:t xml:space="preserve">  </w:t>
      </w:r>
      <w:r w:rsidR="00594D71">
        <w:rPr>
          <w:rFonts w:ascii="Calibri" w:hAnsi="Calibri" w:cs="Calibri"/>
          <w:sz w:val="24"/>
          <w:szCs w:val="24"/>
        </w:rPr>
        <w:t xml:space="preserve">   </w:t>
      </w:r>
      <w:r>
        <w:rPr>
          <w:rFonts w:ascii="Calibri" w:hAnsi="Calibri" w:cs="Calibri"/>
          <w:sz w:val="24"/>
          <w:szCs w:val="24"/>
        </w:rPr>
        <w:t xml:space="preserve"> </w:t>
      </w:r>
    </w:p>
    <w:p w14:paraId="7D491D60" w14:textId="6CEADD38" w:rsidR="00944877" w:rsidRDefault="007211E2" w:rsidP="003923CB">
      <w:pPr>
        <w:jc w:val="both"/>
        <w:rPr>
          <w:rFonts w:ascii="Calibri" w:hAnsi="Calibri" w:cs="Calibri"/>
          <w:sz w:val="24"/>
          <w:szCs w:val="24"/>
        </w:rPr>
      </w:pPr>
      <w:r>
        <w:rPr>
          <w:rFonts w:ascii="Calibri" w:hAnsi="Calibri" w:cs="Calibri"/>
          <w:sz w:val="24"/>
          <w:szCs w:val="24"/>
        </w:rPr>
        <w:t xml:space="preserve">After </w:t>
      </w:r>
      <w:r w:rsidR="0023639E">
        <w:rPr>
          <w:rFonts w:ascii="Calibri" w:hAnsi="Calibri" w:cs="Calibri"/>
          <w:sz w:val="24"/>
          <w:szCs w:val="24"/>
        </w:rPr>
        <w:t xml:space="preserve">a careful review of the criteria specified in the Proposed Guidance that </w:t>
      </w:r>
      <w:r w:rsidR="00340D2D">
        <w:rPr>
          <w:rFonts w:ascii="Calibri" w:hAnsi="Calibri" w:cs="Calibri"/>
          <w:sz w:val="24"/>
          <w:szCs w:val="24"/>
        </w:rPr>
        <w:t>designate contract markets (</w:t>
      </w:r>
      <w:r w:rsidR="0023639E" w:rsidRPr="00340D2D">
        <w:rPr>
          <w:rFonts w:ascii="Calibri" w:hAnsi="Calibri" w:cs="Calibri"/>
          <w:b/>
          <w:bCs/>
          <w:sz w:val="24"/>
          <w:szCs w:val="24"/>
        </w:rPr>
        <w:t>DCMs</w:t>
      </w:r>
      <w:r w:rsidR="00340D2D">
        <w:rPr>
          <w:rFonts w:ascii="Calibri" w:hAnsi="Calibri" w:cs="Calibri"/>
          <w:sz w:val="24"/>
          <w:szCs w:val="24"/>
        </w:rPr>
        <w:t>)</w:t>
      </w:r>
      <w:r w:rsidR="0023639E">
        <w:rPr>
          <w:rFonts w:ascii="Calibri" w:hAnsi="Calibri" w:cs="Calibri"/>
          <w:sz w:val="24"/>
          <w:szCs w:val="24"/>
        </w:rPr>
        <w:t xml:space="preserve"> would be required to address when evaluating VCCs and carbon crediting programs, we </w:t>
      </w:r>
      <w:r w:rsidR="00ED32C5">
        <w:rPr>
          <w:rFonts w:ascii="Calibri" w:hAnsi="Calibri" w:cs="Calibri"/>
          <w:sz w:val="24"/>
          <w:szCs w:val="24"/>
        </w:rPr>
        <w:t xml:space="preserve">are confident that the Commission’s criteria are fully satisfied by the CCPs.  That said, the </w:t>
      </w:r>
      <w:r w:rsidR="00944877">
        <w:rPr>
          <w:rFonts w:ascii="Calibri" w:hAnsi="Calibri" w:cs="Calibri"/>
          <w:sz w:val="24"/>
          <w:szCs w:val="24"/>
        </w:rPr>
        <w:t>CCPs and the Assessment Framework</w:t>
      </w:r>
      <w:r w:rsidR="00D20BAC">
        <w:rPr>
          <w:rFonts w:ascii="Calibri" w:hAnsi="Calibri" w:cs="Calibri"/>
          <w:sz w:val="24"/>
          <w:szCs w:val="24"/>
        </w:rPr>
        <w:t xml:space="preserve"> together with</w:t>
      </w:r>
      <w:r w:rsidR="00944877">
        <w:rPr>
          <w:rFonts w:ascii="Calibri" w:hAnsi="Calibri" w:cs="Calibri"/>
          <w:sz w:val="24"/>
          <w:szCs w:val="24"/>
        </w:rPr>
        <w:t xml:space="preserve"> the expertise that is being brought to bear to implement </w:t>
      </w:r>
      <w:r>
        <w:rPr>
          <w:rFonts w:ascii="Calibri" w:hAnsi="Calibri" w:cs="Calibri"/>
          <w:sz w:val="24"/>
          <w:szCs w:val="24"/>
        </w:rPr>
        <w:t>the framework</w:t>
      </w:r>
      <w:r w:rsidR="00D20BAC">
        <w:rPr>
          <w:rFonts w:ascii="Calibri" w:hAnsi="Calibri" w:cs="Calibri"/>
          <w:sz w:val="24"/>
          <w:szCs w:val="24"/>
        </w:rPr>
        <w:t xml:space="preserve">, </w:t>
      </w:r>
      <w:r w:rsidR="00340D2D">
        <w:rPr>
          <w:rFonts w:ascii="Calibri" w:hAnsi="Calibri" w:cs="Calibri"/>
          <w:sz w:val="24"/>
          <w:szCs w:val="24"/>
        </w:rPr>
        <w:t>provide</w:t>
      </w:r>
      <w:r w:rsidR="00ED32C5">
        <w:rPr>
          <w:rFonts w:ascii="Calibri" w:hAnsi="Calibri" w:cs="Calibri"/>
          <w:sz w:val="24"/>
          <w:szCs w:val="24"/>
        </w:rPr>
        <w:t xml:space="preserve"> a much deeper analysis of the criteria, and do so in a manner that would not </w:t>
      </w:r>
      <w:r w:rsidR="00340D2D">
        <w:rPr>
          <w:rFonts w:ascii="Calibri" w:hAnsi="Calibri" w:cs="Calibri"/>
          <w:sz w:val="24"/>
          <w:szCs w:val="24"/>
        </w:rPr>
        <w:t xml:space="preserve">overly </w:t>
      </w:r>
      <w:r w:rsidR="00ED32C5">
        <w:rPr>
          <w:rFonts w:ascii="Calibri" w:hAnsi="Calibri" w:cs="Calibri"/>
          <w:sz w:val="24"/>
          <w:szCs w:val="24"/>
        </w:rPr>
        <w:t xml:space="preserve">burden </w:t>
      </w:r>
      <w:r w:rsidR="00340D2D" w:rsidRPr="00340D2D">
        <w:rPr>
          <w:rFonts w:ascii="Calibri" w:hAnsi="Calibri" w:cs="Calibri"/>
          <w:sz w:val="24"/>
          <w:szCs w:val="24"/>
        </w:rPr>
        <w:t>DCMs</w:t>
      </w:r>
      <w:r w:rsidR="00340D2D">
        <w:rPr>
          <w:rFonts w:ascii="Calibri" w:hAnsi="Calibri" w:cs="Calibri"/>
          <w:sz w:val="24"/>
          <w:szCs w:val="24"/>
        </w:rPr>
        <w:t>.</w:t>
      </w:r>
      <w:r w:rsidR="00ED32C5">
        <w:rPr>
          <w:rFonts w:ascii="Calibri" w:hAnsi="Calibri" w:cs="Calibri"/>
          <w:sz w:val="24"/>
          <w:szCs w:val="24"/>
        </w:rPr>
        <w:t xml:space="preserve"> We</w:t>
      </w:r>
      <w:r>
        <w:rPr>
          <w:rFonts w:ascii="Calibri" w:hAnsi="Calibri" w:cs="Calibri"/>
          <w:sz w:val="24"/>
          <w:szCs w:val="24"/>
        </w:rPr>
        <w:t xml:space="preserve"> believe the Integrity Council’s assessment process would be superior to that </w:t>
      </w:r>
      <w:r w:rsidR="00926948">
        <w:rPr>
          <w:rFonts w:ascii="Calibri" w:hAnsi="Calibri" w:cs="Calibri"/>
          <w:sz w:val="24"/>
          <w:szCs w:val="24"/>
        </w:rPr>
        <w:t>conducted by the DCMs and understandably so</w:t>
      </w:r>
      <w:r w:rsidR="00340D2D">
        <w:rPr>
          <w:rFonts w:ascii="Calibri" w:hAnsi="Calibri" w:cs="Calibri"/>
          <w:sz w:val="24"/>
          <w:szCs w:val="24"/>
        </w:rPr>
        <w:t>, since DCMs cannot be expected to bring a level of expertise comparable to that of the Integrity Council</w:t>
      </w:r>
      <w:r w:rsidR="00926948">
        <w:rPr>
          <w:rFonts w:ascii="Calibri" w:hAnsi="Calibri" w:cs="Calibri"/>
          <w:sz w:val="24"/>
          <w:szCs w:val="24"/>
        </w:rPr>
        <w:t>.</w:t>
      </w:r>
      <w:r w:rsidR="00ED32C5">
        <w:rPr>
          <w:rFonts w:ascii="Calibri" w:hAnsi="Calibri" w:cs="Calibri"/>
          <w:sz w:val="24"/>
          <w:szCs w:val="24"/>
        </w:rPr>
        <w:t xml:space="preserve"> </w:t>
      </w:r>
      <w:r w:rsidR="00926948">
        <w:rPr>
          <w:rFonts w:ascii="Calibri" w:hAnsi="Calibri" w:cs="Calibri"/>
          <w:sz w:val="24"/>
          <w:szCs w:val="24"/>
        </w:rPr>
        <w:t xml:space="preserve">Thus we </w:t>
      </w:r>
      <w:r w:rsidR="00ED32C5">
        <w:rPr>
          <w:rFonts w:ascii="Calibri" w:hAnsi="Calibri" w:cs="Calibri"/>
          <w:sz w:val="24"/>
          <w:szCs w:val="24"/>
        </w:rPr>
        <w:t xml:space="preserve">believe that </w:t>
      </w:r>
      <w:r>
        <w:rPr>
          <w:rFonts w:ascii="Calibri" w:hAnsi="Calibri" w:cs="Calibri"/>
          <w:sz w:val="24"/>
          <w:szCs w:val="24"/>
        </w:rPr>
        <w:t xml:space="preserve">in cases where a derivative is offered on a DCM in which the underlying VCC has the CCP label, the </w:t>
      </w:r>
      <w:r w:rsidR="00944877">
        <w:rPr>
          <w:rFonts w:ascii="Calibri" w:hAnsi="Calibri" w:cs="Calibri"/>
          <w:sz w:val="24"/>
          <w:szCs w:val="24"/>
        </w:rPr>
        <w:t xml:space="preserve">Commission’s final Guidance should provide that DCMs </w:t>
      </w:r>
      <w:r w:rsidR="003923CB">
        <w:rPr>
          <w:rFonts w:ascii="Calibri" w:hAnsi="Calibri" w:cs="Calibri"/>
          <w:sz w:val="24"/>
          <w:szCs w:val="24"/>
        </w:rPr>
        <w:t xml:space="preserve">will be </w:t>
      </w:r>
      <w:r>
        <w:rPr>
          <w:rFonts w:ascii="Calibri" w:hAnsi="Calibri" w:cs="Calibri"/>
          <w:sz w:val="24"/>
          <w:szCs w:val="24"/>
        </w:rPr>
        <w:t xml:space="preserve">deemed to have satisfied </w:t>
      </w:r>
      <w:r w:rsidR="003923CB">
        <w:rPr>
          <w:rFonts w:ascii="Calibri" w:hAnsi="Calibri" w:cs="Calibri"/>
          <w:sz w:val="24"/>
          <w:szCs w:val="24"/>
        </w:rPr>
        <w:t xml:space="preserve">the Commission’s </w:t>
      </w:r>
      <w:r>
        <w:rPr>
          <w:rFonts w:ascii="Calibri" w:hAnsi="Calibri" w:cs="Calibri"/>
          <w:sz w:val="24"/>
          <w:szCs w:val="24"/>
        </w:rPr>
        <w:t xml:space="preserve">integrity </w:t>
      </w:r>
      <w:r w:rsidR="003923CB">
        <w:rPr>
          <w:rFonts w:ascii="Calibri" w:hAnsi="Calibri" w:cs="Calibri"/>
          <w:sz w:val="24"/>
          <w:szCs w:val="24"/>
        </w:rPr>
        <w:t>requirements</w:t>
      </w:r>
      <w:r>
        <w:rPr>
          <w:rFonts w:ascii="Calibri" w:hAnsi="Calibri" w:cs="Calibri"/>
          <w:sz w:val="24"/>
          <w:szCs w:val="24"/>
        </w:rPr>
        <w:t xml:space="preserve">.  </w:t>
      </w:r>
      <w:r w:rsidR="003923CB">
        <w:rPr>
          <w:rFonts w:ascii="Calibri" w:hAnsi="Calibri" w:cs="Calibri"/>
          <w:sz w:val="24"/>
          <w:szCs w:val="24"/>
        </w:rPr>
        <w:t xml:space="preserve">  </w:t>
      </w:r>
    </w:p>
    <w:p w14:paraId="362F10AA" w14:textId="77777777" w:rsidR="00926948" w:rsidRDefault="00926948" w:rsidP="00A2627F">
      <w:pPr>
        <w:jc w:val="both"/>
        <w:rPr>
          <w:rFonts w:ascii="Calibri" w:hAnsi="Calibri" w:cs="Calibri"/>
          <w:sz w:val="24"/>
          <w:szCs w:val="24"/>
        </w:rPr>
      </w:pPr>
      <w:r>
        <w:rPr>
          <w:rFonts w:ascii="Calibri" w:hAnsi="Calibri" w:cs="Calibri"/>
          <w:sz w:val="24"/>
          <w:szCs w:val="24"/>
        </w:rPr>
        <w:tab/>
        <w:t>3. Further Comments.</w:t>
      </w:r>
    </w:p>
    <w:p w14:paraId="6791FDDD" w14:textId="24BB36BE" w:rsidR="00125BE4" w:rsidRDefault="00926948" w:rsidP="004F384E">
      <w:pPr>
        <w:jc w:val="both"/>
        <w:rPr>
          <w:rFonts w:ascii="Calibri" w:hAnsi="Calibri" w:cs="Calibri"/>
          <w:sz w:val="24"/>
          <w:szCs w:val="24"/>
        </w:rPr>
      </w:pPr>
      <w:r>
        <w:rPr>
          <w:rFonts w:ascii="Calibri" w:hAnsi="Calibri" w:cs="Calibri"/>
          <w:sz w:val="24"/>
          <w:szCs w:val="24"/>
        </w:rPr>
        <w:lastRenderedPageBreak/>
        <w:t>We have provided more detailed comments in response to the Commission’s questions in the attached Table 1.</w:t>
      </w:r>
      <w:r w:rsidR="00340D2D">
        <w:rPr>
          <w:rFonts w:ascii="Calibri" w:hAnsi="Calibri" w:cs="Calibri"/>
          <w:sz w:val="24"/>
          <w:szCs w:val="24"/>
        </w:rPr>
        <w:t xml:space="preserve">  Further, w</w:t>
      </w:r>
      <w:r w:rsidR="007B41F2">
        <w:rPr>
          <w:rFonts w:ascii="Calibri" w:hAnsi="Calibri" w:cs="Calibri"/>
          <w:sz w:val="24"/>
          <w:szCs w:val="24"/>
        </w:rPr>
        <w:t>e note specifically that the Integrity Council</w:t>
      </w:r>
      <w:r w:rsidR="007E1F65">
        <w:rPr>
          <w:rFonts w:ascii="Calibri" w:hAnsi="Calibri" w:cs="Calibri"/>
          <w:sz w:val="24"/>
          <w:szCs w:val="24"/>
        </w:rPr>
        <w:t xml:space="preserve"> believes </w:t>
      </w:r>
      <w:r w:rsidR="009679FF">
        <w:rPr>
          <w:rFonts w:ascii="Calibri" w:hAnsi="Calibri" w:cs="Calibri"/>
          <w:sz w:val="24"/>
          <w:szCs w:val="24"/>
        </w:rPr>
        <w:t xml:space="preserve">that there are strong arguments linked to price formation and alignment with international climate policy that would argue in favor of including sustainability impacts and safeguards, as well as contribution toward net zero emissions by mid-century, to the list of Core </w:t>
      </w:r>
      <w:proofErr w:type="gramStart"/>
      <w:r w:rsidR="009679FF">
        <w:rPr>
          <w:rFonts w:ascii="Calibri" w:hAnsi="Calibri" w:cs="Calibri"/>
          <w:sz w:val="24"/>
          <w:szCs w:val="24"/>
        </w:rPr>
        <w:t>Principle</w:t>
      </w:r>
      <w:proofErr w:type="gramEnd"/>
      <w:r w:rsidR="009679FF">
        <w:rPr>
          <w:rFonts w:ascii="Calibri" w:hAnsi="Calibri" w:cs="Calibri"/>
          <w:sz w:val="24"/>
          <w:szCs w:val="24"/>
        </w:rPr>
        <w:t xml:space="preserve"> compliance considerations in the final Guidance. These </w:t>
      </w:r>
      <w:r w:rsidR="00F27CAD">
        <w:rPr>
          <w:rFonts w:ascii="Calibri" w:hAnsi="Calibri" w:cs="Calibri"/>
          <w:sz w:val="24"/>
          <w:szCs w:val="24"/>
        </w:rPr>
        <w:t xml:space="preserve">criteria </w:t>
      </w:r>
      <w:r w:rsidR="00850D07">
        <w:rPr>
          <w:rFonts w:ascii="Calibri" w:hAnsi="Calibri" w:cs="Calibri"/>
          <w:sz w:val="24"/>
          <w:szCs w:val="24"/>
        </w:rPr>
        <w:t xml:space="preserve">received wide recognition and endorsement </w:t>
      </w:r>
      <w:r w:rsidR="00850D07" w:rsidRPr="008D6A87">
        <w:rPr>
          <w:rFonts w:ascii="Calibri" w:hAnsi="Calibri" w:cs="Calibri"/>
          <w:sz w:val="24"/>
          <w:szCs w:val="24"/>
        </w:rPr>
        <w:t>at</w:t>
      </w:r>
      <w:r w:rsidR="009679FF" w:rsidRPr="008D6A87">
        <w:rPr>
          <w:rFonts w:ascii="Calibri" w:hAnsi="Calibri" w:cs="Calibri"/>
          <w:sz w:val="24"/>
          <w:szCs w:val="24"/>
        </w:rPr>
        <w:t xml:space="preserve"> COP28</w:t>
      </w:r>
      <w:r w:rsidR="009679FF">
        <w:rPr>
          <w:rFonts w:ascii="Calibri" w:hAnsi="Calibri" w:cs="Calibri"/>
          <w:sz w:val="24"/>
          <w:szCs w:val="24"/>
        </w:rPr>
        <w:t xml:space="preserve"> and thus are </w:t>
      </w:r>
      <w:r w:rsidR="00F27CAD">
        <w:rPr>
          <w:rFonts w:ascii="Calibri" w:hAnsi="Calibri" w:cs="Calibri"/>
          <w:sz w:val="24"/>
          <w:szCs w:val="24"/>
        </w:rPr>
        <w:t xml:space="preserve">being recognized as international standards. The </w:t>
      </w:r>
      <w:r w:rsidR="00340D2D">
        <w:rPr>
          <w:rFonts w:ascii="Calibri" w:hAnsi="Calibri" w:cs="Calibri"/>
          <w:sz w:val="24"/>
          <w:szCs w:val="24"/>
        </w:rPr>
        <w:t xml:space="preserve">Integrity Council’s </w:t>
      </w:r>
      <w:r w:rsidR="00F27CAD">
        <w:rPr>
          <w:rFonts w:ascii="Calibri" w:hAnsi="Calibri" w:cs="Calibri"/>
          <w:sz w:val="24"/>
          <w:szCs w:val="24"/>
        </w:rPr>
        <w:t>CCPs include these VCC criteria</w:t>
      </w:r>
      <w:r w:rsidR="004F384E">
        <w:rPr>
          <w:rFonts w:ascii="Calibri" w:hAnsi="Calibri" w:cs="Calibri"/>
          <w:sz w:val="24"/>
          <w:szCs w:val="24"/>
        </w:rPr>
        <w:t xml:space="preserve"> in addition to the eight Core Principles identified in the Proposed Guidance.</w:t>
      </w:r>
      <w:r w:rsidR="00F27CAD">
        <w:rPr>
          <w:rFonts w:ascii="Calibri" w:hAnsi="Calibri" w:cs="Calibri"/>
          <w:sz w:val="24"/>
          <w:szCs w:val="24"/>
        </w:rPr>
        <w:t xml:space="preserve"> Please refer to questions 1, 16 and 17 in Table 1 for a more detailed discussion of these requirements.  </w:t>
      </w:r>
    </w:p>
    <w:p w14:paraId="60BDDD46" w14:textId="77777777" w:rsidR="00A475DF" w:rsidRDefault="00A475DF" w:rsidP="00A2627F">
      <w:pPr>
        <w:jc w:val="both"/>
        <w:rPr>
          <w:rFonts w:ascii="Calibri" w:hAnsi="Calibri" w:cs="Calibri"/>
          <w:sz w:val="24"/>
          <w:szCs w:val="24"/>
        </w:rPr>
      </w:pPr>
    </w:p>
    <w:p w14:paraId="6ED3DBEF" w14:textId="7E6BB419" w:rsidR="00A475DF" w:rsidRDefault="00A475DF" w:rsidP="00A475DF">
      <w:pPr>
        <w:jc w:val="center"/>
        <w:rPr>
          <w:rFonts w:ascii="Calibri" w:hAnsi="Calibri" w:cs="Calibri"/>
          <w:sz w:val="24"/>
          <w:szCs w:val="24"/>
        </w:rPr>
      </w:pPr>
      <w:r>
        <w:rPr>
          <w:rFonts w:ascii="Calibri" w:hAnsi="Calibri" w:cs="Calibri"/>
          <w:sz w:val="24"/>
          <w:szCs w:val="24"/>
        </w:rPr>
        <w:t>******</w:t>
      </w:r>
    </w:p>
    <w:p w14:paraId="092128F9" w14:textId="77777777" w:rsidR="00A475DF" w:rsidRDefault="00A475DF" w:rsidP="00A2627F">
      <w:pPr>
        <w:jc w:val="both"/>
        <w:rPr>
          <w:rFonts w:ascii="Calibri" w:hAnsi="Calibri" w:cs="Calibri"/>
          <w:sz w:val="24"/>
          <w:szCs w:val="24"/>
        </w:rPr>
      </w:pPr>
    </w:p>
    <w:p w14:paraId="7445EAF8" w14:textId="1913CA07" w:rsidR="00C0643A" w:rsidRDefault="004F384E" w:rsidP="00A2627F">
      <w:pPr>
        <w:jc w:val="both"/>
        <w:rPr>
          <w:rFonts w:ascii="Calibri" w:hAnsi="Calibri" w:cs="Calibri"/>
          <w:sz w:val="24"/>
          <w:szCs w:val="24"/>
        </w:rPr>
      </w:pPr>
      <w:r>
        <w:rPr>
          <w:rFonts w:ascii="Calibri" w:hAnsi="Calibri" w:cs="Calibri"/>
          <w:sz w:val="24"/>
          <w:szCs w:val="24"/>
        </w:rPr>
        <w:t xml:space="preserve">The Integrity Council welcomes the Commission’s focus on VCCs and the VCM and we are grateful for the </w:t>
      </w:r>
      <w:r w:rsidR="00C65A77">
        <w:rPr>
          <w:rFonts w:ascii="Calibri" w:hAnsi="Calibri" w:cs="Calibri"/>
          <w:sz w:val="24"/>
          <w:szCs w:val="24"/>
        </w:rPr>
        <w:t>thoughtful</w:t>
      </w:r>
      <w:r w:rsidR="00A475DF">
        <w:rPr>
          <w:rFonts w:ascii="Calibri" w:hAnsi="Calibri" w:cs="Calibri"/>
          <w:sz w:val="24"/>
          <w:szCs w:val="24"/>
        </w:rPr>
        <w:t xml:space="preserve"> </w:t>
      </w:r>
      <w:proofErr w:type="gramStart"/>
      <w:r w:rsidR="00A475DF">
        <w:rPr>
          <w:rFonts w:ascii="Calibri" w:hAnsi="Calibri" w:cs="Calibri"/>
          <w:sz w:val="24"/>
          <w:szCs w:val="24"/>
        </w:rPr>
        <w:t>manner in which</w:t>
      </w:r>
      <w:proofErr w:type="gramEnd"/>
      <w:r w:rsidR="00A475DF">
        <w:rPr>
          <w:rFonts w:ascii="Calibri" w:hAnsi="Calibri" w:cs="Calibri"/>
          <w:sz w:val="24"/>
          <w:szCs w:val="24"/>
        </w:rPr>
        <w:t xml:space="preserve"> </w:t>
      </w:r>
      <w:r w:rsidR="00340D2D">
        <w:rPr>
          <w:rFonts w:ascii="Calibri" w:hAnsi="Calibri" w:cs="Calibri"/>
          <w:sz w:val="24"/>
          <w:szCs w:val="24"/>
        </w:rPr>
        <w:t xml:space="preserve">the Commission </w:t>
      </w:r>
      <w:r>
        <w:rPr>
          <w:rFonts w:ascii="Calibri" w:hAnsi="Calibri" w:cs="Calibri"/>
          <w:sz w:val="24"/>
          <w:szCs w:val="24"/>
        </w:rPr>
        <w:t>has</w:t>
      </w:r>
      <w:r w:rsidR="00A475DF">
        <w:rPr>
          <w:rFonts w:ascii="Calibri" w:hAnsi="Calibri" w:cs="Calibri"/>
          <w:sz w:val="24"/>
          <w:szCs w:val="24"/>
        </w:rPr>
        <w:t xml:space="preserve"> </w:t>
      </w:r>
      <w:r>
        <w:rPr>
          <w:rFonts w:ascii="Calibri" w:hAnsi="Calibri" w:cs="Calibri"/>
          <w:sz w:val="24"/>
          <w:szCs w:val="24"/>
        </w:rPr>
        <w:t xml:space="preserve">approached this critical sector of the market.  We would be pleased to discuss this letter in greater detail and to </w:t>
      </w:r>
      <w:r w:rsidR="00C65A77">
        <w:rPr>
          <w:rFonts w:ascii="Calibri" w:hAnsi="Calibri" w:cs="Calibri"/>
          <w:sz w:val="24"/>
          <w:szCs w:val="24"/>
        </w:rPr>
        <w:t>provide any assistance if needed.</w:t>
      </w:r>
      <w:r w:rsidR="00A475DF">
        <w:rPr>
          <w:rFonts w:ascii="Calibri" w:hAnsi="Calibri" w:cs="Calibri"/>
          <w:sz w:val="24"/>
          <w:szCs w:val="24"/>
        </w:rPr>
        <w:t xml:space="preserve">  We can be reached at </w:t>
      </w:r>
      <w:hyperlink r:id="rId11" w:history="1">
        <w:r w:rsidR="00A475DF" w:rsidRPr="002B39EB">
          <w:rPr>
            <w:rStyle w:val="Hyperlink"/>
            <w:rFonts w:ascii="Calibri" w:hAnsi="Calibri" w:cs="Calibri"/>
            <w:sz w:val="24"/>
            <w:szCs w:val="24"/>
          </w:rPr>
          <w:t>annette.nazareth@icvcm.org</w:t>
        </w:r>
      </w:hyperlink>
      <w:r w:rsidR="00A475DF">
        <w:rPr>
          <w:rFonts w:ascii="Calibri" w:hAnsi="Calibri" w:cs="Calibri"/>
          <w:sz w:val="24"/>
          <w:szCs w:val="24"/>
        </w:rPr>
        <w:t xml:space="preserve"> or amy.merrill@icvcm.org.</w:t>
      </w:r>
    </w:p>
    <w:p w14:paraId="7DA66170" w14:textId="70F3EC3A" w:rsidR="00C65A77" w:rsidRDefault="00C65A77" w:rsidP="00A475DF">
      <w:pPr>
        <w:jc w:val="both"/>
        <w:rPr>
          <w:rFonts w:ascii="Calibri" w:hAnsi="Calibri" w:cs="Calibri"/>
          <w:sz w:val="24"/>
          <w:szCs w:val="24"/>
        </w:rPr>
      </w:pPr>
      <w:r>
        <w:rPr>
          <w:rFonts w:ascii="Calibri" w:hAnsi="Calibri" w:cs="Calibri"/>
          <w:sz w:val="24"/>
          <w:szCs w:val="24"/>
        </w:rPr>
        <w:t>Very truly yours</w:t>
      </w:r>
      <w:r w:rsidR="00A475DF">
        <w:rPr>
          <w:rFonts w:ascii="Calibri" w:hAnsi="Calibri" w:cs="Calibri"/>
          <w:sz w:val="24"/>
          <w:szCs w:val="24"/>
        </w:rPr>
        <w:t>,</w:t>
      </w:r>
    </w:p>
    <w:p w14:paraId="58BA524C" w14:textId="77777777" w:rsidR="00A475DF" w:rsidRDefault="00A475DF" w:rsidP="00A475DF">
      <w:pPr>
        <w:jc w:val="both"/>
        <w:rPr>
          <w:rFonts w:ascii="Calibri" w:hAnsi="Calibri" w:cs="Calibri"/>
          <w:sz w:val="24"/>
          <w:szCs w:val="24"/>
        </w:rPr>
      </w:pPr>
    </w:p>
    <w:p w14:paraId="72FBEC0F" w14:textId="3F644F9F" w:rsidR="00C65A77" w:rsidRDefault="00C65A77" w:rsidP="00C65A77">
      <w:pPr>
        <w:jc w:val="both"/>
        <w:rPr>
          <w:rFonts w:ascii="Calibri" w:hAnsi="Calibri" w:cs="Calibri"/>
          <w:sz w:val="24"/>
          <w:szCs w:val="24"/>
        </w:rPr>
      </w:pPr>
      <w:r>
        <w:rPr>
          <w:rFonts w:ascii="Calibri" w:hAnsi="Calibri" w:cs="Calibri"/>
          <w:sz w:val="24"/>
          <w:szCs w:val="24"/>
        </w:rPr>
        <w:t>Annette L. Nazareth</w:t>
      </w:r>
    </w:p>
    <w:p w14:paraId="064F52AB" w14:textId="18676CFF" w:rsidR="00C65A77" w:rsidRPr="00BD3970" w:rsidRDefault="00C65A77" w:rsidP="00C65A77">
      <w:pPr>
        <w:jc w:val="both"/>
        <w:rPr>
          <w:rFonts w:ascii="Calibri" w:hAnsi="Calibri" w:cs="Calibri"/>
          <w:sz w:val="24"/>
          <w:szCs w:val="24"/>
        </w:rPr>
      </w:pPr>
      <w:r>
        <w:rPr>
          <w:rFonts w:ascii="Calibri" w:hAnsi="Calibri" w:cs="Calibri"/>
          <w:sz w:val="24"/>
          <w:szCs w:val="24"/>
        </w:rPr>
        <w:t>Chair of the Governing Board</w:t>
      </w:r>
    </w:p>
    <w:p w14:paraId="5447D99A" w14:textId="20AB995C" w:rsidR="00A2627F" w:rsidRDefault="00A2627F" w:rsidP="00872B99">
      <w:pPr>
        <w:jc w:val="both"/>
        <w:rPr>
          <w:rFonts w:ascii="Calibri" w:hAnsi="Calibri" w:cs="Calibri"/>
          <w:sz w:val="24"/>
          <w:szCs w:val="24"/>
        </w:rPr>
      </w:pPr>
    </w:p>
    <w:p w14:paraId="32078DC7" w14:textId="36D8110E" w:rsidR="00FA350C" w:rsidRDefault="00FA350C" w:rsidP="002230DB">
      <w:pPr>
        <w:jc w:val="both"/>
        <w:rPr>
          <w:rFonts w:ascii="Calibri" w:hAnsi="Calibri" w:cs="Calibri"/>
          <w:sz w:val="24"/>
          <w:szCs w:val="24"/>
        </w:rPr>
      </w:pPr>
    </w:p>
    <w:p w14:paraId="5C94415C" w14:textId="77777777" w:rsidR="00FA350C" w:rsidRDefault="00FA350C" w:rsidP="002230DB">
      <w:pPr>
        <w:jc w:val="both"/>
        <w:rPr>
          <w:rFonts w:ascii="Calibri" w:hAnsi="Calibri" w:cs="Calibri"/>
          <w:sz w:val="24"/>
          <w:szCs w:val="24"/>
        </w:rPr>
      </w:pPr>
    </w:p>
    <w:p w14:paraId="0CCCEB55" w14:textId="77777777" w:rsidR="00FA350C" w:rsidRDefault="00FA350C" w:rsidP="002230DB">
      <w:pPr>
        <w:jc w:val="both"/>
        <w:rPr>
          <w:rFonts w:ascii="Calibri" w:hAnsi="Calibri" w:cs="Calibri"/>
          <w:sz w:val="24"/>
          <w:szCs w:val="24"/>
        </w:rPr>
      </w:pPr>
    </w:p>
    <w:p w14:paraId="6DEFF2EC" w14:textId="77777777" w:rsidR="00F16B7E" w:rsidRDefault="00F16B7E" w:rsidP="00565028">
      <w:pPr>
        <w:pStyle w:val="GraphicHeader"/>
        <w:spacing w:before="360" w:after="120"/>
        <w:jc w:val="both"/>
        <w:rPr>
          <w:rFonts w:cs="Calibri"/>
        </w:rPr>
        <w:sectPr w:rsidR="00F16B7E" w:rsidSect="008A09F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1008" w:footer="720" w:gutter="0"/>
          <w:cols w:space="720"/>
          <w:titlePg/>
          <w:docGrid w:linePitch="360"/>
        </w:sectPr>
      </w:pPr>
    </w:p>
    <w:p w14:paraId="377377DA" w14:textId="77777777" w:rsidR="006B4244" w:rsidRDefault="006B4244" w:rsidP="006B4244">
      <w:pPr>
        <w:pStyle w:val="GraphicHeader"/>
        <w:spacing w:before="360" w:after="120"/>
        <w:jc w:val="both"/>
        <w:rPr>
          <w:rFonts w:cs="Calibri"/>
        </w:rPr>
      </w:pPr>
      <w:r w:rsidRPr="00313B26">
        <w:rPr>
          <w:rFonts w:cs="Calibri"/>
        </w:rPr>
        <w:lastRenderedPageBreak/>
        <w:t>Table 1: Tabulated comments</w:t>
      </w:r>
    </w:p>
    <w:p w14:paraId="63C9C162" w14:textId="56EAB968" w:rsidR="006B4244" w:rsidRPr="001068DA" w:rsidRDefault="006B4244" w:rsidP="006B4244">
      <w:pPr>
        <w:jc w:val="both"/>
        <w:rPr>
          <w:rFonts w:cs="Calibri"/>
        </w:rPr>
      </w:pPr>
      <w:r>
        <w:rPr>
          <w:rFonts w:ascii="Calibri" w:hAnsi="Calibri" w:cs="Calibri"/>
          <w:sz w:val="24"/>
          <w:szCs w:val="24"/>
        </w:rPr>
        <w:t>Please n</w:t>
      </w:r>
      <w:r w:rsidRPr="007928B7">
        <w:rPr>
          <w:rFonts w:ascii="Calibri" w:hAnsi="Calibri" w:cs="Calibri"/>
          <w:sz w:val="24"/>
          <w:szCs w:val="24"/>
        </w:rPr>
        <w:t xml:space="preserve">ote that ‘terms and conditions’ will be referred to as </w:t>
      </w:r>
      <w:r w:rsidRPr="006B4244">
        <w:rPr>
          <w:rFonts w:ascii="Calibri" w:hAnsi="Calibri" w:cs="Calibri"/>
          <w:b/>
          <w:bCs/>
          <w:sz w:val="24"/>
          <w:szCs w:val="24"/>
        </w:rPr>
        <w:t>T&amp;C</w:t>
      </w:r>
      <w:r w:rsidRPr="007928B7">
        <w:rPr>
          <w:rFonts w:ascii="Calibri" w:hAnsi="Calibri" w:cs="Calibri"/>
          <w:sz w:val="24"/>
          <w:szCs w:val="24"/>
        </w:rPr>
        <w:t xml:space="preserve"> throughout the table.</w:t>
      </w:r>
    </w:p>
    <w:tbl>
      <w:tblPr>
        <w:tblStyle w:val="TableGrid"/>
        <w:tblW w:w="13135" w:type="dxa"/>
        <w:tblLook w:val="04A0" w:firstRow="1" w:lastRow="0" w:firstColumn="1" w:lastColumn="0" w:noHBand="0" w:noVBand="1"/>
      </w:tblPr>
      <w:tblGrid>
        <w:gridCol w:w="1324"/>
        <w:gridCol w:w="3404"/>
        <w:gridCol w:w="8407"/>
      </w:tblGrid>
      <w:tr w:rsidR="006B4244" w:rsidRPr="001068DA" w14:paraId="193CD9B1" w14:textId="77777777" w:rsidTr="00A064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33" w:type="dxa"/>
            <w:vAlign w:val="center"/>
          </w:tcPr>
          <w:p w14:paraId="4E0CA89D" w14:textId="77777777" w:rsidR="006B4244" w:rsidRPr="001068DA" w:rsidRDefault="006B4244" w:rsidP="00A06465">
            <w:pPr>
              <w:spacing w:after="0"/>
              <w:jc w:val="both"/>
              <w:rPr>
                <w:rFonts w:ascii="Calibri" w:hAnsi="Calibri" w:cs="Calibri"/>
              </w:rPr>
            </w:pPr>
            <w:r w:rsidRPr="001068DA">
              <w:rPr>
                <w:rFonts w:ascii="Calibri" w:hAnsi="Calibri" w:cs="Calibri"/>
              </w:rPr>
              <w:t>area</w:t>
            </w:r>
          </w:p>
        </w:tc>
        <w:tc>
          <w:tcPr>
            <w:tcW w:w="3452" w:type="dxa"/>
            <w:vAlign w:val="center"/>
          </w:tcPr>
          <w:p w14:paraId="56AD6AF9" w14:textId="77777777" w:rsidR="006B4244" w:rsidRPr="001068DA" w:rsidRDefault="006B4244" w:rsidP="00A06465">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068DA">
              <w:rPr>
                <w:rFonts w:ascii="Calibri" w:hAnsi="Calibri" w:cs="Calibri"/>
              </w:rPr>
              <w:t>Request for comment (shorthand questions)</w:t>
            </w:r>
            <w:r w:rsidRPr="001068DA">
              <w:rPr>
                <w:rStyle w:val="FootnoteReference"/>
                <w:rFonts w:ascii="Calibri" w:hAnsi="Calibri" w:cs="Calibri"/>
              </w:rPr>
              <w:footnoteReference w:id="5"/>
            </w:r>
          </w:p>
        </w:tc>
        <w:tc>
          <w:tcPr>
            <w:tcW w:w="8550" w:type="dxa"/>
            <w:vAlign w:val="center"/>
          </w:tcPr>
          <w:p w14:paraId="55EDA76D" w14:textId="77777777" w:rsidR="006B4244" w:rsidRPr="001068DA" w:rsidRDefault="006B4244" w:rsidP="00A06465">
            <w:pPr>
              <w:spacing w:after="0"/>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068DA">
              <w:rPr>
                <w:rFonts w:ascii="Calibri" w:hAnsi="Calibri" w:cs="Calibri"/>
              </w:rPr>
              <w:t>COMMENT</w:t>
            </w:r>
          </w:p>
        </w:tc>
      </w:tr>
      <w:tr w:rsidR="006B4244" w:rsidRPr="001068DA" w14:paraId="76F6044E" w14:textId="77777777" w:rsidTr="00A0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4E780DA7" w14:textId="77777777" w:rsidR="006B4244" w:rsidRPr="006B4244" w:rsidRDefault="006B4244" w:rsidP="00A06465">
            <w:pPr>
              <w:jc w:val="both"/>
              <w:rPr>
                <w:rFonts w:ascii="Calibri" w:hAnsi="Calibri" w:cs="Calibri"/>
              </w:rPr>
            </w:pPr>
            <w:r w:rsidRPr="006B4244">
              <w:rPr>
                <w:rFonts w:ascii="Calibri" w:hAnsi="Calibri" w:cs="Calibri"/>
              </w:rPr>
              <w:t>General</w:t>
            </w:r>
          </w:p>
        </w:tc>
        <w:tc>
          <w:tcPr>
            <w:tcW w:w="3452" w:type="dxa"/>
          </w:tcPr>
          <w:p w14:paraId="6EB09BE7"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1. Other relevant/ </w:t>
            </w:r>
            <w:proofErr w:type="gramStart"/>
            <w:r w:rsidRPr="006B4244">
              <w:rPr>
                <w:rFonts w:ascii="Calibri" w:hAnsi="Calibri" w:cs="Calibri"/>
              </w:rPr>
              <w:t>Non-relevant</w:t>
            </w:r>
            <w:proofErr w:type="gramEnd"/>
            <w:r w:rsidRPr="006B4244">
              <w:rPr>
                <w:rFonts w:ascii="Calibri" w:hAnsi="Calibri" w:cs="Calibri"/>
              </w:rPr>
              <w:t xml:space="preserve"> characteristics informing the integrity of carbon credits</w:t>
            </w:r>
          </w:p>
          <w:p w14:paraId="0859DDC4"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2. Recognized standards that a DCM should incorporate into VCC derivative contracts’ T&amp;C</w:t>
            </w:r>
          </w:p>
          <w:p w14:paraId="7A9D4A71" w14:textId="57D5EFF3"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3. Other criteria a DCM should consider for monitoring the continual appropriateness of VCC derivative contracts</w:t>
            </w:r>
            <w:r w:rsidR="00D111BD">
              <w:rPr>
                <w:rFonts w:ascii="Calibri" w:hAnsi="Calibri" w:cs="Calibri"/>
              </w:rPr>
              <w:t>’</w:t>
            </w:r>
            <w:r w:rsidRPr="006B4244">
              <w:rPr>
                <w:rFonts w:ascii="Calibri" w:hAnsi="Calibri" w:cs="Calibri"/>
              </w:rPr>
              <w:t xml:space="preserve"> T&amp;C</w:t>
            </w:r>
          </w:p>
          <w:p w14:paraId="7F3DD1A0"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lastRenderedPageBreak/>
              <w:t>4. Other factors to consider by DCM in analysis of contract susceptibility to manipulation</w:t>
            </w:r>
          </w:p>
          <w:p w14:paraId="019FDBA5"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5. Relevance of these VCC derivative contract characteristics for submissions made by a registered foreign board of trade </w:t>
            </w:r>
          </w:p>
        </w:tc>
        <w:tc>
          <w:tcPr>
            <w:tcW w:w="8550" w:type="dxa"/>
          </w:tcPr>
          <w:p w14:paraId="6CB9E76F"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lastRenderedPageBreak/>
              <w:t xml:space="preserve">1. All the VCC commodity characteristics identified in this Proposal are relevant. Other relevant characteristics </w:t>
            </w:r>
            <w:proofErr w:type="gramStart"/>
            <w:r w:rsidRPr="006B4244">
              <w:rPr>
                <w:rFonts w:ascii="Calibri" w:hAnsi="Calibri" w:cs="Calibri"/>
              </w:rPr>
              <w:t>are:</w:t>
            </w:r>
            <w:proofErr w:type="gramEnd"/>
            <w:r w:rsidRPr="006B4244">
              <w:rPr>
                <w:rFonts w:ascii="Calibri" w:hAnsi="Calibri" w:cs="Calibri"/>
              </w:rPr>
              <w:t xml:space="preserve"> sustainable development and safeguards (including quantified SDG impacts), contribution to net zero emissions, host country authorization under Article 6 of the Paris Agreement,</w:t>
            </w:r>
            <w:r w:rsidRPr="006B4244">
              <w:rPr>
                <w:rStyle w:val="FootnoteReference"/>
                <w:rFonts w:ascii="Calibri" w:hAnsi="Calibri" w:cs="Calibri"/>
              </w:rPr>
              <w:footnoteReference w:id="6"/>
            </w:r>
            <w:r w:rsidRPr="006B4244">
              <w:rPr>
                <w:rFonts w:ascii="Calibri" w:hAnsi="Calibri" w:cs="Calibri"/>
              </w:rPr>
              <w:t xml:space="preserve"> and share of proceeds for adaptation finance. The ICVCM has explored these characteristics and required CCP-eligible credits to comply with sustainable development and safeguards </w:t>
            </w:r>
            <w:proofErr w:type="gramStart"/>
            <w:r w:rsidRPr="006B4244">
              <w:rPr>
                <w:rFonts w:ascii="Calibri" w:hAnsi="Calibri" w:cs="Calibri"/>
              </w:rPr>
              <w:t>requirements, and</w:t>
            </w:r>
            <w:proofErr w:type="gramEnd"/>
            <w:r w:rsidRPr="006B4244">
              <w:rPr>
                <w:rFonts w:ascii="Calibri" w:hAnsi="Calibri" w:cs="Calibri"/>
              </w:rPr>
              <w:t xml:space="preserve"> provide a contribution to net zero transition. Host country authorization under Article 6, share of proceeds for adaptation finance and quantified positive SDG impacts are optional attributes to be added to the CCP tag where relevant. See comments to questions 16 and 17 for more detail.</w:t>
            </w:r>
          </w:p>
          <w:p w14:paraId="32F08AC2"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In general, correlations between quality and price have strengthened over the last 18 months, so analysts appear to be </w:t>
            </w:r>
            <w:r w:rsidRPr="001068DA">
              <w:rPr>
                <w:rFonts w:ascii="Calibri" w:hAnsi="Calibri" w:cs="Calibri"/>
              </w:rPr>
              <w:t>relatively confident</w:t>
            </w:r>
            <w:r w:rsidRPr="006B4244">
              <w:rPr>
                <w:rFonts w:ascii="Calibri" w:hAnsi="Calibri" w:cs="Calibri"/>
              </w:rPr>
              <w:t xml:space="preserve"> the CCPs will trade at a premium. Ecosystem Marketplace’s State of VCM 2023 report</w:t>
            </w:r>
            <w:r w:rsidRPr="001068DA">
              <w:rPr>
                <w:rStyle w:val="FootnoteReference"/>
                <w:rFonts w:ascii="Calibri" w:hAnsi="Calibri" w:cs="Calibri"/>
              </w:rPr>
              <w:footnoteReference w:id="7"/>
            </w:r>
            <w:r w:rsidRPr="006B4244">
              <w:rPr>
                <w:rFonts w:ascii="Calibri" w:hAnsi="Calibri" w:cs="Calibri"/>
              </w:rPr>
              <w:t xml:space="preserve"> indicates VCC prices are at their peak with </w:t>
            </w:r>
            <w:proofErr w:type="gramStart"/>
            <w:r w:rsidRPr="006B4244">
              <w:rPr>
                <w:rFonts w:ascii="Calibri" w:hAnsi="Calibri" w:cs="Calibri"/>
              </w:rPr>
              <w:t>nature based</w:t>
            </w:r>
            <w:proofErr w:type="gramEnd"/>
            <w:r w:rsidRPr="006B4244">
              <w:rPr>
                <w:rFonts w:ascii="Calibri" w:hAnsi="Calibri" w:cs="Calibri"/>
              </w:rPr>
              <w:t xml:space="preserve"> credits taking the biggest market share and showing a 78% price premium when associated with certified environmental and social co-benefits. </w:t>
            </w:r>
          </w:p>
          <w:p w14:paraId="5107F60A"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lastRenderedPageBreak/>
              <w:t xml:space="preserve">Also, research indicates buyers prefer newer credits (recent vintages) featuring more robust methodologies, and the market is looking for new </w:t>
            </w:r>
            <w:proofErr w:type="gramStart"/>
            <w:r w:rsidRPr="006B4244">
              <w:rPr>
                <w:rFonts w:ascii="Calibri" w:hAnsi="Calibri" w:cs="Calibri"/>
              </w:rPr>
              <w:t>high quality</w:t>
            </w:r>
            <w:proofErr w:type="gramEnd"/>
            <w:r w:rsidRPr="006B4244">
              <w:rPr>
                <w:rFonts w:ascii="Calibri" w:hAnsi="Calibri" w:cs="Calibri"/>
              </w:rPr>
              <w:t xml:space="preserve"> credits. </w:t>
            </w:r>
          </w:p>
          <w:p w14:paraId="3976B500"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2. Yes, we suggest DCMs should incorporate: at least the CCP requirements for carbon credit supply quality and issuance; but </w:t>
            </w:r>
            <w:proofErr w:type="gramStart"/>
            <w:r w:rsidRPr="006B4244">
              <w:rPr>
                <w:rFonts w:ascii="Calibri" w:hAnsi="Calibri" w:cs="Calibri"/>
              </w:rPr>
              <w:t>also</w:t>
            </w:r>
            <w:proofErr w:type="gramEnd"/>
            <w:r w:rsidRPr="006B4244">
              <w:rPr>
                <w:rFonts w:ascii="Calibri" w:hAnsi="Calibri" w:cs="Calibri"/>
              </w:rPr>
              <w:t xml:space="preserve"> ISSB Standards (IFRS S2 Climate related disclosures) and VCMI standards for carbon credit use where relevant.</w:t>
            </w:r>
            <w:r w:rsidRPr="006B4244">
              <w:rPr>
                <w:rFonts w:ascii="Calibri" w:hAnsi="Calibri" w:cs="Calibri"/>
                <w:color w:val="FF0000"/>
              </w:rPr>
              <w:t xml:space="preserve">  </w:t>
            </w:r>
          </w:p>
          <w:p w14:paraId="1A0A92E6"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3. DCMs should periodically reassess the appropriateness of VCC derivative contracts T&amp;C against </w:t>
            </w:r>
            <w:proofErr w:type="gramStart"/>
            <w:r w:rsidRPr="006B4244">
              <w:rPr>
                <w:rFonts w:ascii="Calibri" w:hAnsi="Calibri" w:cs="Calibri"/>
              </w:rPr>
              <w:t>latest</w:t>
            </w:r>
            <w:proofErr w:type="gramEnd"/>
            <w:r w:rsidRPr="006B4244">
              <w:rPr>
                <w:rFonts w:ascii="Calibri" w:hAnsi="Calibri" w:cs="Calibri"/>
              </w:rPr>
              <w:t xml:space="preserve"> versions of the abovementioned guidance. </w:t>
            </w:r>
          </w:p>
          <w:p w14:paraId="22B2497D" w14:textId="212A2666"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4. Analysis of whether or not a VCC derivative contract would be readily susceptible to manipulation can be informed by a crediting program providing third</w:t>
            </w:r>
            <w:r w:rsidR="00D111BD">
              <w:rPr>
                <w:rFonts w:ascii="Calibri" w:hAnsi="Calibri" w:cs="Calibri"/>
              </w:rPr>
              <w:t>-</w:t>
            </w:r>
            <w:r w:rsidRPr="006B4244">
              <w:rPr>
                <w:rFonts w:ascii="Calibri" w:hAnsi="Calibri" w:cs="Calibri"/>
              </w:rPr>
              <w:t>party assurance that VCCs are ICVCM CCP(/ISSB/VCMI where relevant) compliant, with particular emphasis on the conflict of interests policy – which should be included in supply-side quality criteria (in Transparency and/or Governance) and especially Inspection Provisions – Third-Party Validation and Verification. Rules could be considered in the context of managing any conflicts of interest raised by the issuance, verification, certification, transfer, and retirement of carbon credits. These could include adequate disclosures by a crediting program of potential legal or beneficial relationships between project developers, validation and/or verification bodies and carbon crediting programs —noting these risks are not generally present in the relationships between this group of actors due to most programs being not for profit organizations and most validation and/or verification bodies being subject to rules preventing them having interests in project development companies as part of their accreditation to operate in this market; but also registries (generally part of the carbon crediting program), marketplaces and exchanges, intermediaries, etc.</w:t>
            </w:r>
          </w:p>
          <w:p w14:paraId="2CBA0246"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5. Yes </w:t>
            </w:r>
            <w:proofErr w:type="gramStart"/>
            <w:r w:rsidRPr="006B4244">
              <w:rPr>
                <w:rFonts w:ascii="Calibri" w:hAnsi="Calibri" w:cs="Calibri"/>
              </w:rPr>
              <w:t>–  While</w:t>
            </w:r>
            <w:proofErr w:type="gramEnd"/>
            <w:r w:rsidRPr="006B4244">
              <w:rPr>
                <w:rFonts w:ascii="Calibri" w:hAnsi="Calibri" w:cs="Calibri"/>
              </w:rPr>
              <w:t xml:space="preserve"> still fragmented, VCM markets are potentially global and regulation should be aligned with international standards to ensure fungibility and scalability of the market. </w:t>
            </w:r>
          </w:p>
        </w:tc>
      </w:tr>
      <w:tr w:rsidR="006B4244" w:rsidRPr="001068DA" w14:paraId="76E00A15" w14:textId="77777777" w:rsidTr="00A06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57100C1C" w14:textId="77777777" w:rsidR="006B4244" w:rsidRPr="006B4244" w:rsidRDefault="006B4244" w:rsidP="00A06465">
            <w:pPr>
              <w:jc w:val="both"/>
              <w:rPr>
                <w:rFonts w:ascii="Calibri" w:hAnsi="Calibri" w:cs="Calibri"/>
              </w:rPr>
            </w:pPr>
            <w:r w:rsidRPr="006B4244">
              <w:rPr>
                <w:rFonts w:ascii="Calibri" w:hAnsi="Calibri" w:cs="Calibri"/>
              </w:rPr>
              <w:lastRenderedPageBreak/>
              <w:t>Transparency</w:t>
            </w:r>
          </w:p>
        </w:tc>
        <w:tc>
          <w:tcPr>
            <w:tcW w:w="3452" w:type="dxa"/>
          </w:tcPr>
          <w:p w14:paraId="1DAD7E0B" w14:textId="3D0899F3"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6. Criteria for DCM to assess whether a crediting program is providing sufficient </w:t>
            </w:r>
            <w:r w:rsidRPr="006B4244">
              <w:rPr>
                <w:rFonts w:ascii="Calibri" w:hAnsi="Calibri" w:cs="Calibri"/>
              </w:rPr>
              <w:lastRenderedPageBreak/>
              <w:t xml:space="preserve">access to information on projects/ activities it credits </w:t>
            </w:r>
          </w:p>
        </w:tc>
        <w:tc>
          <w:tcPr>
            <w:tcW w:w="8550" w:type="dxa"/>
          </w:tcPr>
          <w:p w14:paraId="23C926BE"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lastRenderedPageBreak/>
              <w:t xml:space="preserve">6. The CCP rules (criterion 3.1) already </w:t>
            </w:r>
            <w:proofErr w:type="gramStart"/>
            <w:r w:rsidRPr="006B4244">
              <w:rPr>
                <w:rFonts w:ascii="Calibri" w:hAnsi="Calibri" w:cs="Calibri"/>
              </w:rPr>
              <w:t>contains</w:t>
            </w:r>
            <w:proofErr w:type="gramEnd"/>
            <w:r w:rsidRPr="006B4244">
              <w:rPr>
                <w:rFonts w:ascii="Calibri" w:hAnsi="Calibri" w:cs="Calibri"/>
              </w:rPr>
              <w:t xml:space="preserve"> comprehensive transparency requirements under the CCP on Transparency, including the requirement to make all information about the projects and its project rules public. </w:t>
            </w:r>
          </w:p>
        </w:tc>
      </w:tr>
      <w:tr w:rsidR="006B4244" w:rsidRPr="001068DA" w14:paraId="68969EDF" w14:textId="77777777" w:rsidTr="00A06465">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dxa"/>
          </w:tcPr>
          <w:p w14:paraId="0BEFB747" w14:textId="77777777" w:rsidR="006B4244" w:rsidRPr="006B4244" w:rsidRDefault="006B4244" w:rsidP="00A06465">
            <w:pPr>
              <w:jc w:val="both"/>
              <w:rPr>
                <w:rFonts w:ascii="Calibri" w:hAnsi="Calibri" w:cs="Calibri"/>
              </w:rPr>
            </w:pPr>
            <w:r w:rsidRPr="006B4244">
              <w:rPr>
                <w:rFonts w:ascii="Calibri" w:hAnsi="Calibri" w:cs="Calibri"/>
              </w:rPr>
              <w:t>Additionality</w:t>
            </w:r>
          </w:p>
        </w:tc>
        <w:tc>
          <w:tcPr>
            <w:tcW w:w="0" w:type="dxa"/>
          </w:tcPr>
          <w:p w14:paraId="0656C4A3"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7. Criteria for DCM to assess whether a crediting program has the procedures in place to test for and provide assurance on additionality.</w:t>
            </w:r>
          </w:p>
          <w:p w14:paraId="49C24A46" w14:textId="1E58D628"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8. Is additionality as characterized in the Proposal appropriate or would another characterization be more so (e.g. legal additionality)</w:t>
            </w:r>
            <w:r w:rsidR="00D111BD">
              <w:rPr>
                <w:rFonts w:ascii="Calibri" w:hAnsi="Calibri" w:cs="Calibri"/>
              </w:rPr>
              <w:t>?</w:t>
            </w:r>
          </w:p>
        </w:tc>
        <w:tc>
          <w:tcPr>
            <w:tcW w:w="0" w:type="dxa"/>
          </w:tcPr>
          <w:p w14:paraId="3DA84DF3" w14:textId="690437E0"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7. As part of CCP </w:t>
            </w:r>
            <w:proofErr w:type="gramStart"/>
            <w:r w:rsidRPr="006B4244">
              <w:rPr>
                <w:rFonts w:ascii="Calibri" w:hAnsi="Calibri" w:cs="Calibri"/>
              </w:rPr>
              <w:t>approval,  ICVCM</w:t>
            </w:r>
            <w:proofErr w:type="gramEnd"/>
            <w:r w:rsidRPr="006B4244">
              <w:rPr>
                <w:rFonts w:ascii="Calibri" w:hAnsi="Calibri" w:cs="Calibri"/>
              </w:rPr>
              <w:t xml:space="preserve"> conducts a rigorous assessment of carbon crediting programs and their methodologies (see criteria in </w:t>
            </w:r>
            <w:r w:rsidR="00724CA9">
              <w:rPr>
                <w:rFonts w:ascii="Calibri" w:hAnsi="Calibri" w:cs="Calibri"/>
              </w:rPr>
              <w:t>S</w:t>
            </w:r>
            <w:r w:rsidR="00724CA9" w:rsidRPr="006B4244">
              <w:rPr>
                <w:rFonts w:ascii="Calibri" w:hAnsi="Calibri" w:cs="Calibri"/>
              </w:rPr>
              <w:t xml:space="preserve">ection </w:t>
            </w:r>
            <w:r w:rsidRPr="006B4244">
              <w:rPr>
                <w:rFonts w:ascii="Calibri" w:hAnsi="Calibri" w:cs="Calibri"/>
              </w:rPr>
              <w:t xml:space="preserve">4 of the ICVCM guidance, the Assessment Framework) to ensure that they have procedures and processes that ensure additionality. CCP Eligible programs have passed the thresholder and so a DCM can just require that the carbon credits be CCP carbon credits </w:t>
            </w:r>
            <w:proofErr w:type="gramStart"/>
            <w:r w:rsidRPr="006B4244">
              <w:rPr>
                <w:rFonts w:ascii="Calibri" w:hAnsi="Calibri" w:cs="Calibri"/>
              </w:rPr>
              <w:t>in order to</w:t>
            </w:r>
            <w:proofErr w:type="gramEnd"/>
            <w:r w:rsidRPr="006B4244">
              <w:rPr>
                <w:rFonts w:ascii="Calibri" w:hAnsi="Calibri" w:cs="Calibri"/>
              </w:rPr>
              <w:t xml:space="preserve"> ensure that they are robust and high integrity. Additionality assessment is detailed on pages 74 onwards of </w:t>
            </w:r>
            <w:r w:rsidR="00435FB9">
              <w:rPr>
                <w:rFonts w:ascii="Calibri" w:hAnsi="Calibri" w:cs="Calibri"/>
              </w:rPr>
              <w:t xml:space="preserve">Section 4 of </w:t>
            </w:r>
            <w:r w:rsidRPr="006B4244">
              <w:rPr>
                <w:rFonts w:ascii="Calibri" w:hAnsi="Calibri" w:cs="Calibri"/>
              </w:rPr>
              <w:t>the Assessment Framework.</w:t>
            </w:r>
            <w:r w:rsidRPr="006B4244">
              <w:rPr>
                <w:rStyle w:val="FootnoteReference"/>
                <w:rFonts w:ascii="Calibri" w:hAnsi="Calibri" w:cs="Calibri"/>
              </w:rPr>
              <w:footnoteReference w:id="8"/>
            </w:r>
          </w:p>
          <w:p w14:paraId="7CC33A0A" w14:textId="0E424ECA"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8. Characterization of additionality is appropriate as is, no further specification is needed. Criteria by which crediting programs demonstrate additionality (question 7) </w:t>
            </w:r>
            <w:proofErr w:type="gramStart"/>
            <w:r w:rsidRPr="006B4244">
              <w:rPr>
                <w:rFonts w:ascii="Calibri" w:hAnsi="Calibri" w:cs="Calibri"/>
              </w:rPr>
              <w:t>have to</w:t>
            </w:r>
            <w:proofErr w:type="gramEnd"/>
            <w:r w:rsidRPr="006B4244">
              <w:rPr>
                <w:rFonts w:ascii="Calibri" w:hAnsi="Calibri" w:cs="Calibri"/>
              </w:rPr>
              <w:t xml:space="preserve"> include review of existing policy frameworks (p.</w:t>
            </w:r>
            <w:r w:rsidR="003F5FA5">
              <w:rPr>
                <w:rFonts w:ascii="Calibri" w:hAnsi="Calibri" w:cs="Calibri"/>
              </w:rPr>
              <w:t xml:space="preserve"> </w:t>
            </w:r>
            <w:r w:rsidRPr="006B4244">
              <w:rPr>
                <w:rFonts w:ascii="Calibri" w:hAnsi="Calibri" w:cs="Calibri"/>
              </w:rPr>
              <w:t xml:space="preserve">32 </w:t>
            </w:r>
            <w:r w:rsidR="009D1D50" w:rsidRPr="009D1D50">
              <w:rPr>
                <w:rFonts w:ascii="Calibri" w:hAnsi="Calibri" w:cs="Calibri"/>
              </w:rPr>
              <w:t xml:space="preserve">of Section 3 Summary for Decision Makers </w:t>
            </w:r>
            <w:r w:rsidRPr="006B4244">
              <w:rPr>
                <w:rFonts w:ascii="Calibri" w:hAnsi="Calibri" w:cs="Calibri"/>
              </w:rPr>
              <w:t xml:space="preserve">of </w:t>
            </w:r>
            <w:r w:rsidR="003F5FA5">
              <w:rPr>
                <w:rFonts w:ascii="Calibri" w:hAnsi="Calibri" w:cs="Calibri"/>
              </w:rPr>
              <w:t>the</w:t>
            </w:r>
            <w:r w:rsidR="003F5FA5" w:rsidRPr="006B4244">
              <w:rPr>
                <w:rFonts w:ascii="Calibri" w:hAnsi="Calibri" w:cs="Calibri"/>
              </w:rPr>
              <w:t xml:space="preserve"> </w:t>
            </w:r>
            <w:r w:rsidRPr="006B4244">
              <w:rPr>
                <w:rFonts w:ascii="Calibri" w:hAnsi="Calibri" w:cs="Calibri"/>
              </w:rPr>
              <w:t>Assessment Framework</w:t>
            </w:r>
            <w:r w:rsidR="001F573D">
              <w:rPr>
                <w:rStyle w:val="FootnoteReference"/>
                <w:rFonts w:ascii="Calibri" w:hAnsi="Calibri" w:cs="Calibri"/>
              </w:rPr>
              <w:footnoteReference w:id="9"/>
            </w:r>
            <w:r w:rsidRPr="006B4244">
              <w:rPr>
                <w:rFonts w:ascii="Calibri" w:hAnsi="Calibri" w:cs="Calibri"/>
              </w:rPr>
              <w:t xml:space="preserve"> reads: “</w:t>
            </w:r>
            <w:r w:rsidRPr="006B4244">
              <w:rPr>
                <w:rFonts w:ascii="Calibri" w:hAnsi="Calibri" w:cs="Calibri"/>
                <w:color w:val="000000"/>
              </w:rPr>
              <w:t>Carbon-crediting programs must have program documents which demonstrate that mitigation activities meet existing host country legal requirements, such that the emissions reductions or removals exceed those required due to relevant and enforced legal requirements.”)</w:t>
            </w:r>
            <w:r w:rsidRPr="006B4244">
              <w:rPr>
                <w:rFonts w:ascii="Calibri" w:hAnsi="Calibri" w:cs="Calibri"/>
              </w:rPr>
              <w:t xml:space="preserve">  </w:t>
            </w:r>
          </w:p>
        </w:tc>
      </w:tr>
      <w:tr w:rsidR="006B4244" w:rsidRPr="001068DA" w14:paraId="75B403EC" w14:textId="77777777" w:rsidTr="00A06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7559B9FC" w14:textId="77777777" w:rsidR="006B4244" w:rsidRPr="006B4244" w:rsidRDefault="006B4244" w:rsidP="005476FB">
            <w:pPr>
              <w:rPr>
                <w:rFonts w:ascii="Calibri" w:hAnsi="Calibri" w:cs="Calibri"/>
              </w:rPr>
            </w:pPr>
            <w:r w:rsidRPr="006B4244">
              <w:rPr>
                <w:rFonts w:ascii="Calibri" w:hAnsi="Calibri" w:cs="Calibri"/>
              </w:rPr>
              <w:t>Risk of Reversal</w:t>
            </w:r>
          </w:p>
        </w:tc>
        <w:tc>
          <w:tcPr>
            <w:tcW w:w="3452" w:type="dxa"/>
          </w:tcPr>
          <w:p w14:paraId="0E40E4BF" w14:textId="65D36FCD"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9. Criteria for DCM to assess crediting program’s measures to avoid or mitigate reversal risk, especially when the underlying VCC is sourced from </w:t>
            </w:r>
            <w:proofErr w:type="gramStart"/>
            <w:r w:rsidRPr="006B4244">
              <w:rPr>
                <w:rFonts w:ascii="Calibri" w:hAnsi="Calibri" w:cs="Calibri"/>
              </w:rPr>
              <w:t>nature based</w:t>
            </w:r>
            <w:proofErr w:type="gramEnd"/>
            <w:r w:rsidRPr="006B4244">
              <w:rPr>
                <w:rFonts w:ascii="Calibri" w:hAnsi="Calibri" w:cs="Calibri"/>
              </w:rPr>
              <w:t xml:space="preserve"> projects</w:t>
            </w:r>
          </w:p>
          <w:p w14:paraId="6A9431F3"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lastRenderedPageBreak/>
              <w:t>10. When projects have reversal risk, criteria DCMs should incorporate in VCC contracts</w:t>
            </w:r>
          </w:p>
        </w:tc>
        <w:tc>
          <w:tcPr>
            <w:tcW w:w="8550" w:type="dxa"/>
          </w:tcPr>
          <w:p w14:paraId="524D2AD1" w14:textId="76E40134"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lastRenderedPageBreak/>
              <w:t xml:space="preserve">9 and 10. The ICVCM CCP Assessment Framework has several requirements for crediting programs in this regard, as set out in criteria 9. Permanence of </w:t>
            </w:r>
            <w:r w:rsidR="004A58AE">
              <w:rPr>
                <w:rFonts w:ascii="Calibri" w:hAnsi="Calibri" w:cs="Calibri"/>
              </w:rPr>
              <w:t xml:space="preserve">Section 4 of </w:t>
            </w:r>
            <w:r w:rsidRPr="006B4244">
              <w:rPr>
                <w:rFonts w:ascii="Calibri" w:hAnsi="Calibri" w:cs="Calibri"/>
              </w:rPr>
              <w:t>the Assessment Framework, p.</w:t>
            </w:r>
            <w:r w:rsidR="003F5FA5">
              <w:rPr>
                <w:rFonts w:ascii="Calibri" w:hAnsi="Calibri" w:cs="Calibri"/>
              </w:rPr>
              <w:t xml:space="preserve"> </w:t>
            </w:r>
            <w:r w:rsidRPr="006B4244">
              <w:rPr>
                <w:rFonts w:ascii="Calibri" w:hAnsi="Calibri" w:cs="Calibri"/>
              </w:rPr>
              <w:t xml:space="preserve">82 onwards, including: cancelling or retiring a carbon credit for each </w:t>
            </w:r>
            <w:proofErr w:type="spellStart"/>
            <w:r w:rsidRPr="006B4244">
              <w:rPr>
                <w:rFonts w:ascii="Calibri" w:hAnsi="Calibri" w:cs="Calibri"/>
              </w:rPr>
              <w:t>tonne</w:t>
            </w:r>
            <w:proofErr w:type="spellEnd"/>
            <w:r w:rsidRPr="006B4244">
              <w:rPr>
                <w:rFonts w:ascii="Calibri" w:hAnsi="Calibri" w:cs="Calibri"/>
              </w:rPr>
              <w:t xml:space="preserve"> of CO2e reversed; estimation of reversal risk and characterization as avoidable or unavoidable; 40-year minimum monitoring, reporting and compensation period for avoidable reversals for categories with material reversal risk (such as nature based projects); establishment of buffer pool reserves proportional to reversal risk over the entire monitoring and compensation period. </w:t>
            </w:r>
          </w:p>
          <w:p w14:paraId="75707135"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p>
        </w:tc>
      </w:tr>
      <w:tr w:rsidR="006B4244" w:rsidRPr="001068DA" w14:paraId="3498BA4C" w14:textId="77777777" w:rsidTr="00A0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160776BD" w14:textId="77777777" w:rsidR="006B4244" w:rsidRPr="006B4244" w:rsidRDefault="006B4244" w:rsidP="00A06465">
            <w:pPr>
              <w:jc w:val="both"/>
              <w:rPr>
                <w:rFonts w:ascii="Calibri" w:hAnsi="Calibri" w:cs="Calibri"/>
              </w:rPr>
            </w:pPr>
            <w:r w:rsidRPr="006B4244">
              <w:rPr>
                <w:rFonts w:ascii="Calibri" w:hAnsi="Calibri" w:cs="Calibri"/>
              </w:rPr>
              <w:lastRenderedPageBreak/>
              <w:t>Robust Quantification</w:t>
            </w:r>
          </w:p>
        </w:tc>
        <w:tc>
          <w:tcPr>
            <w:tcW w:w="3452" w:type="dxa"/>
          </w:tcPr>
          <w:p w14:paraId="3762E9D5"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11. Criteria to assess a crediting program has robust, </w:t>
            </w:r>
            <w:proofErr w:type="gramStart"/>
            <w:r w:rsidRPr="006B4244">
              <w:rPr>
                <w:rFonts w:ascii="Calibri" w:hAnsi="Calibri" w:cs="Calibri"/>
              </w:rPr>
              <w:t>conservative</w:t>
            </w:r>
            <w:proofErr w:type="gramEnd"/>
            <w:r w:rsidRPr="006B4244">
              <w:rPr>
                <w:rFonts w:ascii="Calibri" w:hAnsi="Calibri" w:cs="Calibri"/>
              </w:rPr>
              <w:t xml:space="preserve"> and transparent quantification methodology</w:t>
            </w:r>
          </w:p>
        </w:tc>
        <w:tc>
          <w:tcPr>
            <w:tcW w:w="8550" w:type="dxa"/>
          </w:tcPr>
          <w:p w14:paraId="68B15A8E" w14:textId="26057474"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The </w:t>
            </w:r>
            <w:proofErr w:type="gramStart"/>
            <w:r w:rsidRPr="006B4244">
              <w:rPr>
                <w:rFonts w:ascii="Calibri" w:hAnsi="Calibri" w:cs="Calibri"/>
              </w:rPr>
              <w:t>CCPs  require</w:t>
            </w:r>
            <w:proofErr w:type="gramEnd"/>
            <w:r w:rsidRPr="006B4244">
              <w:rPr>
                <w:rFonts w:ascii="Calibri" w:hAnsi="Calibri" w:cs="Calibri"/>
              </w:rPr>
              <w:t xml:space="preserve"> programs to ensure robust quantification (see criteria 5. Robust Quantification of GHG Emissions Reductions and Removals</w:t>
            </w:r>
            <w:r w:rsidR="00252B42">
              <w:rPr>
                <w:rFonts w:ascii="Calibri" w:hAnsi="Calibri" w:cs="Calibri"/>
              </w:rPr>
              <w:t>, Section 4</w:t>
            </w:r>
            <w:r w:rsidRPr="006B4244">
              <w:rPr>
                <w:rFonts w:ascii="Calibri" w:hAnsi="Calibri" w:cs="Calibri"/>
              </w:rPr>
              <w:t xml:space="preserve"> of the Assessment Framework, p. 58 onwards), including through:</w:t>
            </w:r>
          </w:p>
          <w:p w14:paraId="36669725" w14:textId="77777777" w:rsidR="0079480A" w:rsidRDefault="006B4244" w:rsidP="005476FB">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476FB">
              <w:rPr>
                <w:rFonts w:ascii="Calibri" w:hAnsi="Calibri" w:cs="Calibri"/>
              </w:rPr>
              <w:t xml:space="preserve">rules for adopting and updating, </w:t>
            </w:r>
          </w:p>
          <w:p w14:paraId="4A474AC2" w14:textId="77777777" w:rsidR="0079480A" w:rsidRDefault="006B4244" w:rsidP="005476FB">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476FB">
              <w:rPr>
                <w:rFonts w:ascii="Calibri" w:hAnsi="Calibri" w:cs="Calibri"/>
              </w:rPr>
              <w:t xml:space="preserve">suspending and reviewing, </w:t>
            </w:r>
          </w:p>
          <w:p w14:paraId="5ADD17C5" w14:textId="77777777" w:rsidR="0079480A" w:rsidRDefault="006B4244" w:rsidP="005476FB">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476FB">
              <w:rPr>
                <w:rFonts w:ascii="Calibri" w:hAnsi="Calibri" w:cs="Calibri"/>
              </w:rPr>
              <w:t xml:space="preserve">methodologies for quantification of emissions reductions and removals, </w:t>
            </w:r>
          </w:p>
          <w:p w14:paraId="5FEE7E68" w14:textId="77777777" w:rsidR="00B97EA1" w:rsidRDefault="006B4244" w:rsidP="005476FB">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476FB">
              <w:rPr>
                <w:rFonts w:ascii="Calibri" w:hAnsi="Calibri" w:cs="Calibri"/>
              </w:rPr>
              <w:t>(potential) leakage</w:t>
            </w:r>
            <w:r w:rsidR="007B66C4">
              <w:rPr>
                <w:rFonts w:ascii="Calibri" w:hAnsi="Calibri" w:cs="Calibri"/>
              </w:rPr>
              <w:t xml:space="preserve"> </w:t>
            </w:r>
            <w:r w:rsidRPr="005476FB">
              <w:rPr>
                <w:rFonts w:ascii="Calibri" w:hAnsi="Calibri" w:cs="Calibri"/>
              </w:rPr>
              <w:t>conservativeness in determination of baseline scenario</w:t>
            </w:r>
            <w:r w:rsidR="00B97EA1">
              <w:rPr>
                <w:rFonts w:ascii="Calibri" w:hAnsi="Calibri" w:cs="Calibri"/>
              </w:rPr>
              <w:t>,</w:t>
            </w:r>
          </w:p>
          <w:p w14:paraId="777A9450" w14:textId="08590BDE" w:rsidR="006B4244" w:rsidRPr="005476FB" w:rsidRDefault="006B4244" w:rsidP="005476FB">
            <w:pPr>
              <w:pStyle w:val="ListParagraph"/>
              <w:numPr>
                <w:ilvl w:val="0"/>
                <w:numId w:val="29"/>
              </w:num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476FB">
              <w:rPr>
                <w:rFonts w:ascii="Calibri" w:hAnsi="Calibri" w:cs="Calibri"/>
              </w:rPr>
              <w:t>quantification of baseline emissions and removals, including uncertainties rules on length of crediting period</w:t>
            </w:r>
          </w:p>
        </w:tc>
      </w:tr>
      <w:tr w:rsidR="006B4244" w:rsidRPr="001068DA" w14:paraId="4D8F5985" w14:textId="77777777" w:rsidTr="00A064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622FCB67" w14:textId="77777777" w:rsidR="006B4244" w:rsidRPr="006B4244" w:rsidRDefault="006B4244" w:rsidP="00A06465">
            <w:pPr>
              <w:jc w:val="both"/>
              <w:rPr>
                <w:rFonts w:ascii="Calibri" w:hAnsi="Calibri" w:cs="Calibri"/>
              </w:rPr>
            </w:pPr>
            <w:r w:rsidRPr="006B4244">
              <w:rPr>
                <w:rFonts w:ascii="Calibri" w:hAnsi="Calibri" w:cs="Calibri"/>
              </w:rPr>
              <w:t>Governance</w:t>
            </w:r>
          </w:p>
        </w:tc>
        <w:tc>
          <w:tcPr>
            <w:tcW w:w="3452" w:type="dxa"/>
          </w:tcPr>
          <w:p w14:paraId="5E9B076E"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12. Criteria to assess whether crediting program can demonstrate its governance framework supports transparency and accountability </w:t>
            </w:r>
          </w:p>
        </w:tc>
        <w:tc>
          <w:tcPr>
            <w:tcW w:w="8550" w:type="dxa"/>
          </w:tcPr>
          <w:p w14:paraId="7C78FF11"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B4244">
              <w:rPr>
                <w:rFonts w:ascii="Calibri" w:hAnsi="Calibri" w:cs="Calibri"/>
                <w:color w:val="000000"/>
              </w:rPr>
              <w:t xml:space="preserve">The ICVCM CCP </w:t>
            </w:r>
            <w:proofErr w:type="gramStart"/>
            <w:r w:rsidRPr="006B4244">
              <w:rPr>
                <w:rFonts w:ascii="Calibri" w:hAnsi="Calibri" w:cs="Calibri"/>
                <w:color w:val="000000"/>
              </w:rPr>
              <w:t>require</w:t>
            </w:r>
            <w:proofErr w:type="gramEnd"/>
            <w:r w:rsidRPr="006B4244">
              <w:rPr>
                <w:rFonts w:ascii="Calibri" w:hAnsi="Calibri" w:cs="Calibri"/>
                <w:color w:val="000000"/>
              </w:rPr>
              <w:t xml:space="preserve"> robust governance structures and processes that ensure transparency and accountability. Three points to further consider for the Proposal are outlined below.</w:t>
            </w:r>
          </w:p>
          <w:p w14:paraId="48DE35E6" w14:textId="52060884"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B4244">
              <w:rPr>
                <w:rFonts w:ascii="Calibri" w:hAnsi="Calibri" w:cs="Calibri"/>
                <w:color w:val="000000"/>
              </w:rPr>
              <w:t xml:space="preserve">Since digital assets’ cyber security is particularly important to control for, we recommend guidance could be further developed. Another governance point the Proposal makes is ensuring registries have appropriate measures in place to facilitate physical settlement of a VCC derivative contract. This is linked to the ‘Effective registries’ criterion within the 2. Tracking principle in </w:t>
            </w:r>
            <w:r w:rsidR="0084247B">
              <w:rPr>
                <w:rFonts w:ascii="Calibri" w:hAnsi="Calibri" w:cs="Calibri"/>
                <w:color w:val="000000"/>
              </w:rPr>
              <w:t xml:space="preserve">Section 4 of </w:t>
            </w:r>
            <w:r w:rsidRPr="006B4244">
              <w:rPr>
                <w:rFonts w:ascii="Calibri" w:hAnsi="Calibri" w:cs="Calibri"/>
                <w:color w:val="000000"/>
              </w:rPr>
              <w:t>the Assessment Framework, p.</w:t>
            </w:r>
            <w:r w:rsidR="0084247B">
              <w:rPr>
                <w:rFonts w:ascii="Calibri" w:hAnsi="Calibri" w:cs="Calibri"/>
                <w:color w:val="000000"/>
              </w:rPr>
              <w:t>55</w:t>
            </w:r>
            <w:r w:rsidRPr="006B4244">
              <w:rPr>
                <w:rFonts w:ascii="Calibri" w:hAnsi="Calibri" w:cs="Calibri"/>
                <w:color w:val="000000"/>
              </w:rPr>
              <w:t xml:space="preserve">. DCMs could specifically consider </w:t>
            </w:r>
            <w:r w:rsidRPr="006B4244">
              <w:rPr>
                <w:rFonts w:ascii="Calibri" w:hAnsi="Calibri" w:cs="Calibri"/>
              </w:rPr>
              <w:t>whether the subject VCCs are being tracked in registries that require identification of the entity on whose behalf the carbon credit was retired as well as the purpose of retirement.</w:t>
            </w:r>
          </w:p>
          <w:p w14:paraId="0FC682A9" w14:textId="1699CFC4"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color w:val="000000"/>
              </w:rPr>
              <w:t xml:space="preserve">Finally, and as already mentioned in Question 4 (General), </w:t>
            </w:r>
            <w:r w:rsidRPr="006B4244">
              <w:rPr>
                <w:rFonts w:ascii="Calibri" w:hAnsi="Calibri" w:cs="Calibri"/>
              </w:rPr>
              <w:t xml:space="preserve">governance assessment requires a focus on the conflict of </w:t>
            </w:r>
            <w:proofErr w:type="gramStart"/>
            <w:r w:rsidRPr="006B4244">
              <w:rPr>
                <w:rFonts w:ascii="Calibri" w:hAnsi="Calibri" w:cs="Calibri"/>
              </w:rPr>
              <w:t>interests</w:t>
            </w:r>
            <w:proofErr w:type="gramEnd"/>
            <w:r w:rsidRPr="006B4244">
              <w:rPr>
                <w:rFonts w:ascii="Calibri" w:hAnsi="Calibri" w:cs="Calibri"/>
              </w:rPr>
              <w:t xml:space="preserve"> policy. Mentioned in the Proposal’s Transparency section, conflict of interest could be reiterated in Inspection Provisions – Third-Party Validation and </w:t>
            </w:r>
            <w:proofErr w:type="gramStart"/>
            <w:r w:rsidRPr="006B4244">
              <w:rPr>
                <w:rFonts w:ascii="Calibri" w:hAnsi="Calibri" w:cs="Calibri"/>
              </w:rPr>
              <w:t>Verification, and</w:t>
            </w:r>
            <w:proofErr w:type="gramEnd"/>
            <w:r w:rsidRPr="006B4244">
              <w:rPr>
                <w:rFonts w:ascii="Calibri" w:hAnsi="Calibri" w:cs="Calibri"/>
              </w:rPr>
              <w:t xml:space="preserve"> go beyond by providing guidance on how to assess whether transfers and retirements of carbon credits are conflict of interest free in the relationship between marketplaces, exchanges, intermediaries</w:t>
            </w:r>
            <w:r w:rsidR="008B5F73">
              <w:rPr>
                <w:rFonts w:ascii="Calibri" w:hAnsi="Calibri" w:cs="Calibri"/>
              </w:rPr>
              <w:t xml:space="preserve"> and</w:t>
            </w:r>
            <w:r w:rsidR="008B5F73" w:rsidRPr="006B4244">
              <w:rPr>
                <w:rFonts w:ascii="Calibri" w:hAnsi="Calibri" w:cs="Calibri"/>
              </w:rPr>
              <w:t xml:space="preserve"> </w:t>
            </w:r>
            <w:r w:rsidRPr="006B4244">
              <w:rPr>
                <w:rFonts w:ascii="Calibri" w:hAnsi="Calibri" w:cs="Calibri"/>
              </w:rPr>
              <w:t>end user</w:t>
            </w:r>
            <w:r w:rsidR="008B5F73">
              <w:rPr>
                <w:rFonts w:ascii="Calibri" w:hAnsi="Calibri" w:cs="Calibri"/>
              </w:rPr>
              <w:t>s</w:t>
            </w:r>
            <w:r w:rsidRPr="006B4244">
              <w:rPr>
                <w:rFonts w:ascii="Calibri" w:hAnsi="Calibri" w:cs="Calibri"/>
              </w:rPr>
              <w:t xml:space="preserve">. As noted in Question </w:t>
            </w:r>
            <w:r w:rsidRPr="006B4244">
              <w:rPr>
                <w:rFonts w:ascii="Calibri" w:hAnsi="Calibri" w:cs="Calibri"/>
              </w:rPr>
              <w:lastRenderedPageBreak/>
              <w:t>4, risks are not generally present in the relationships between project developers, auditors, and crediting programs, due to most programs being not for profit organizations and most validation and/or verification bodies being subject to rules preventing them having interests in project development companies as part of their accreditation to operate in this market.</w:t>
            </w:r>
          </w:p>
        </w:tc>
      </w:tr>
      <w:tr w:rsidR="006B4244" w:rsidRPr="001068DA" w14:paraId="2754CA9A" w14:textId="77777777" w:rsidTr="00A0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0F6A3223" w14:textId="77777777" w:rsidR="006B4244" w:rsidRPr="006B4244" w:rsidRDefault="006B4244" w:rsidP="00A06465">
            <w:pPr>
              <w:jc w:val="both"/>
              <w:rPr>
                <w:rFonts w:ascii="Calibri" w:hAnsi="Calibri" w:cs="Calibri"/>
                <w:i w:val="0"/>
              </w:rPr>
            </w:pPr>
            <w:r w:rsidRPr="006B4244">
              <w:rPr>
                <w:rFonts w:ascii="Calibri" w:hAnsi="Calibri" w:cs="Calibri"/>
              </w:rPr>
              <w:lastRenderedPageBreak/>
              <w:t xml:space="preserve">Tracking </w:t>
            </w:r>
            <w:r w:rsidRPr="006B4244">
              <w:rPr>
                <w:rFonts w:ascii="Calibri" w:hAnsi="Calibri" w:cs="Calibri"/>
                <w:iCs/>
              </w:rPr>
              <w:t xml:space="preserve">and </w:t>
            </w:r>
            <w:r w:rsidRPr="006B4244">
              <w:rPr>
                <w:rFonts w:ascii="Calibri" w:hAnsi="Calibri" w:cs="Calibri"/>
              </w:rPr>
              <w:t>No Double Counting</w:t>
            </w:r>
          </w:p>
        </w:tc>
        <w:tc>
          <w:tcPr>
            <w:tcW w:w="3452" w:type="dxa"/>
          </w:tcPr>
          <w:p w14:paraId="781234FD" w14:textId="5D3EECEB"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13. Criteria a DCM should consider in a VCC contract with respect to whether a crediting program’s operated or utilized registry procedures ensure certainty on issuance, transfer, retirement of VCCs  </w:t>
            </w:r>
          </w:p>
          <w:p w14:paraId="6D87CAAA" w14:textId="5213C8CA"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 xml:space="preserve">14. Criteria to consider </w:t>
            </w:r>
            <w:proofErr w:type="gramStart"/>
            <w:r w:rsidRPr="006B4244">
              <w:rPr>
                <w:rFonts w:ascii="Calibri" w:hAnsi="Calibri" w:cs="Calibri"/>
              </w:rPr>
              <w:t>to demonstrate</w:t>
            </w:r>
            <w:proofErr w:type="gramEnd"/>
            <w:r w:rsidRPr="006B4244">
              <w:rPr>
                <w:rFonts w:ascii="Calibri" w:hAnsi="Calibri" w:cs="Calibri"/>
              </w:rPr>
              <w:t xml:space="preserve"> a registry ensures no double counting of emissions reductions/ removals  </w:t>
            </w:r>
          </w:p>
        </w:tc>
        <w:tc>
          <w:tcPr>
            <w:tcW w:w="8550" w:type="dxa"/>
          </w:tcPr>
          <w:p w14:paraId="0D76C63C" w14:textId="09AF6B5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13. ICVCM CCP Assessment Framework requires crediting programs to have registry provisions that prevent double registration (the registration of any mitigation activity that has been registered under another carbon-crediting program and is still active under that program); double use (the further transfer, retirement or cancellation of a carbon credit once it has been cancelled or retired for a specific use); and doubling claiming with mandatory domestic mitigation programs or incentivization schemes (e.g.</w:t>
            </w:r>
            <w:r w:rsidR="008B5F73">
              <w:rPr>
                <w:rFonts w:ascii="Calibri" w:hAnsi="Calibri" w:cs="Calibri"/>
              </w:rPr>
              <w:t>,</w:t>
            </w:r>
            <w:r w:rsidRPr="006B4244">
              <w:rPr>
                <w:rFonts w:ascii="Calibri" w:hAnsi="Calibri" w:cs="Calibri"/>
              </w:rPr>
              <w:t xml:space="preserve"> RECs).</w:t>
            </w:r>
          </w:p>
          <w:p w14:paraId="209FA39F"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14. Unique identifiers and meta-registries can dramatically improve transparency and reduce risk of double counting.</w:t>
            </w:r>
          </w:p>
        </w:tc>
      </w:tr>
      <w:tr w:rsidR="006B4244" w:rsidRPr="001068DA" w14:paraId="40AABE3B" w14:textId="77777777" w:rsidTr="00A06465">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133" w:type="dxa"/>
          </w:tcPr>
          <w:p w14:paraId="7AED467D" w14:textId="77777777" w:rsidR="006B4244" w:rsidRPr="006B4244" w:rsidRDefault="006B4244" w:rsidP="00A06465">
            <w:pPr>
              <w:jc w:val="both"/>
              <w:rPr>
                <w:rFonts w:ascii="Calibri" w:hAnsi="Calibri" w:cs="Calibri"/>
              </w:rPr>
            </w:pPr>
            <w:r w:rsidRPr="006B4244">
              <w:rPr>
                <w:rFonts w:ascii="Calibri" w:hAnsi="Calibri" w:cs="Calibri"/>
              </w:rPr>
              <w:t>Inspection Provisions</w:t>
            </w:r>
          </w:p>
        </w:tc>
        <w:tc>
          <w:tcPr>
            <w:tcW w:w="3452" w:type="dxa"/>
          </w:tcPr>
          <w:p w14:paraId="7BB633B9" w14:textId="0419C7A0"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15. On whether contracts should describe responsibilities of </w:t>
            </w:r>
            <w:r w:rsidR="008B5F73" w:rsidRPr="006B4244">
              <w:rPr>
                <w:rFonts w:ascii="Calibri" w:hAnsi="Calibri" w:cs="Calibri"/>
              </w:rPr>
              <w:t>third parties</w:t>
            </w:r>
            <w:r w:rsidRPr="006B4244">
              <w:rPr>
                <w:rFonts w:ascii="Calibri" w:hAnsi="Calibri" w:cs="Calibri"/>
              </w:rPr>
              <w:t xml:space="preserve"> (crediting programs, registries, others) required to carry out the delivery process</w:t>
            </w:r>
          </w:p>
        </w:tc>
        <w:tc>
          <w:tcPr>
            <w:tcW w:w="8550" w:type="dxa"/>
          </w:tcPr>
          <w:p w14:paraId="17EB4C40"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15. Contracts should not have to describe the responsibilities of third parties if the roles of the third party are known to both parties, and the performance of those responsibilities by those third parties can be managed through usual risk management in contracts by allocating that risk between the contract Parties or providing for default/force majeure etc. type risks. Standard contracts for VCCs routinely use annexes to allocate such risks through box ticking exercises.</w:t>
            </w:r>
            <w:r w:rsidRPr="006B4244">
              <w:rPr>
                <w:rStyle w:val="FootnoteReference"/>
                <w:rFonts w:ascii="Calibri" w:hAnsi="Calibri" w:cs="Calibri"/>
              </w:rPr>
              <w:footnoteReference w:id="10"/>
            </w:r>
            <w:r w:rsidRPr="006B4244">
              <w:rPr>
                <w:rFonts w:ascii="Calibri" w:hAnsi="Calibri" w:cs="Calibri"/>
              </w:rPr>
              <w:t xml:space="preserve">   </w:t>
            </w:r>
          </w:p>
          <w:p w14:paraId="38D8F975"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IOSCO proposes: “Consistent with their respective mandates, relevant regulators and other authorities could consider requiring that VCM participants, including carbon credit project developers, registries, validation and verification bodies, brokers, traders, marketplaces and exchanges, rating agencies, third-party entities, and private sector supply and demand side standardization initiatives, have in place a comprehensive governance framework with clear lines of responsibility and accountability for the functions and activities they are conducting.” However, we would note that it is not apparent that in each case the </w:t>
            </w:r>
            <w:r w:rsidRPr="006B4244">
              <w:rPr>
                <w:rFonts w:ascii="Calibri" w:hAnsi="Calibri" w:cs="Calibri"/>
              </w:rPr>
              <w:lastRenderedPageBreak/>
              <w:t>regulator would need to cover all actors in the VCC in the same way and may be able to rely on existing structures to some extent:</w:t>
            </w:r>
          </w:p>
          <w:p w14:paraId="76E6DEE8" w14:textId="77777777" w:rsidR="006B4244" w:rsidRPr="006B4244" w:rsidRDefault="006B4244" w:rsidP="00A06465">
            <w:pPr>
              <w:pStyle w:val="ListParagraph"/>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The ICVCM CCPs require this for programs so that a CCP-Eligible program would meet this accountability requirement, so a program’s registries would also be compliant.  </w:t>
            </w:r>
            <w:proofErr w:type="gramStart"/>
            <w:r w:rsidRPr="006B4244">
              <w:rPr>
                <w:rFonts w:ascii="Calibri" w:hAnsi="Calibri" w:cs="Calibri"/>
              </w:rPr>
              <w:t>Usually</w:t>
            </w:r>
            <w:proofErr w:type="gramEnd"/>
            <w:r w:rsidRPr="006B4244">
              <w:rPr>
                <w:rFonts w:ascii="Calibri" w:hAnsi="Calibri" w:cs="Calibri"/>
              </w:rPr>
              <w:t xml:space="preserve"> carbon crediting programs require the corporate documents of project developers to be submitted as part of the validation process. </w:t>
            </w:r>
          </w:p>
          <w:p w14:paraId="12026F95" w14:textId="37609008" w:rsidR="006B4244" w:rsidRPr="006B4244" w:rsidRDefault="006B4244" w:rsidP="00A06465">
            <w:pPr>
              <w:pStyle w:val="ListParagraph"/>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The accrediting body for the relevant validation and verification bodies would impose these requirements on the validation and verification body</w:t>
            </w:r>
            <w:r w:rsidR="008B5F73">
              <w:rPr>
                <w:rFonts w:ascii="Calibri" w:hAnsi="Calibri" w:cs="Calibri"/>
              </w:rPr>
              <w:t>.</w:t>
            </w:r>
          </w:p>
          <w:p w14:paraId="027F6001" w14:textId="77777777" w:rsidR="006B4244" w:rsidRPr="006B4244" w:rsidRDefault="006B4244" w:rsidP="00A06465">
            <w:pPr>
              <w:pStyle w:val="ListParagraph"/>
              <w:numPr>
                <w:ilvl w:val="0"/>
                <w:numId w:val="26"/>
              </w:num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Typically, governments would regulate exchanges and traders and brokers. </w:t>
            </w:r>
          </w:p>
          <w:p w14:paraId="6B92B4AB" w14:textId="61956989"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Encouraging the use of standardized quality (e.g.</w:t>
            </w:r>
            <w:r w:rsidR="008B5F73">
              <w:rPr>
                <w:rFonts w:ascii="Calibri" w:hAnsi="Calibri" w:cs="Calibri"/>
              </w:rPr>
              <w:t>,</w:t>
            </w:r>
            <w:r w:rsidRPr="006B4244">
              <w:rPr>
                <w:rFonts w:ascii="Calibri" w:hAnsi="Calibri" w:cs="Calibri"/>
              </w:rPr>
              <w:t xml:space="preserve"> CCP-labelled) credits could provide a safeguard for contract delivery in that a DCM would be able to hedge for risks of non-delivery from a specific carbon crediting program or project while ensuring the buyer gets the same threshold of quality credit regardless of the type of mitigation activity underlying it. </w:t>
            </w:r>
          </w:p>
          <w:p w14:paraId="7629E7B3" w14:textId="77777777" w:rsidR="006B4244" w:rsidRPr="006B4244" w:rsidRDefault="006B4244" w:rsidP="00A06465">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6B4244">
              <w:rPr>
                <w:rFonts w:ascii="Calibri" w:hAnsi="Calibri" w:cs="Calibri"/>
              </w:rPr>
              <w:t xml:space="preserve">To carry out delivery of VCC contracts, some further work may be needed to understand the relevance of having provisions on alignment between host country rules and the carbon crediting program rules with regards to ownership rights for VCCs (ISDA 2021, Legal Implications of Voluntary Carbon Credits) which may vary depending on the type of mitigation activity and its location. At the current time, carbon crediting programs tend to require projects to “comply with all applicable laws and regulations” by host countries, and, while this is validated, the legal status of ownership may be at risk in certain contexts. </w:t>
            </w:r>
          </w:p>
        </w:tc>
      </w:tr>
      <w:tr w:rsidR="006B4244" w:rsidRPr="001068DA" w14:paraId="643ABD66" w14:textId="77777777" w:rsidTr="00A064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3" w:type="dxa"/>
          </w:tcPr>
          <w:p w14:paraId="7150AF2D" w14:textId="77777777" w:rsidR="006B4244" w:rsidRPr="006B4244" w:rsidRDefault="006B4244" w:rsidP="00A06465">
            <w:pPr>
              <w:jc w:val="both"/>
              <w:rPr>
                <w:rFonts w:ascii="Calibri" w:hAnsi="Calibri" w:cs="Calibri"/>
              </w:rPr>
            </w:pPr>
            <w:r w:rsidRPr="006B4244">
              <w:rPr>
                <w:rFonts w:ascii="Calibri" w:hAnsi="Calibri" w:cs="Calibri"/>
              </w:rPr>
              <w:lastRenderedPageBreak/>
              <w:t>Sustainable Development Benefits and Safeguards</w:t>
            </w:r>
          </w:p>
        </w:tc>
        <w:tc>
          <w:tcPr>
            <w:tcW w:w="3452" w:type="dxa"/>
          </w:tcPr>
          <w:p w14:paraId="3F5D5812" w14:textId="712010F4"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16. On whether DCMs should consider crediting program’s measures to help ensure projects meet or exceed best practices on social and environmental safeguards</w:t>
            </w:r>
          </w:p>
          <w:p w14:paraId="7B0874A4" w14:textId="165B3F3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lastRenderedPageBreak/>
              <w:t xml:space="preserve">17. On whether DCMs should consider crediting program’s measures to help ensure projects avoid locking in levels of GHG emissions, </w:t>
            </w:r>
            <w:proofErr w:type="gramStart"/>
            <w:r w:rsidRPr="006B4244">
              <w:rPr>
                <w:rFonts w:ascii="Calibri" w:hAnsi="Calibri" w:cs="Calibri"/>
              </w:rPr>
              <w:t>technologies</w:t>
            </w:r>
            <w:proofErr w:type="gramEnd"/>
            <w:r w:rsidRPr="006B4244">
              <w:rPr>
                <w:rFonts w:ascii="Calibri" w:hAnsi="Calibri" w:cs="Calibri"/>
              </w:rPr>
              <w:t xml:space="preserve"> or practices incompatible with achieving net zero</w:t>
            </w:r>
          </w:p>
        </w:tc>
        <w:tc>
          <w:tcPr>
            <w:tcW w:w="8550" w:type="dxa"/>
          </w:tcPr>
          <w:p w14:paraId="0E6FAA12" w14:textId="1732E5C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lastRenderedPageBreak/>
              <w:t xml:space="preserve">16. Yes – as raised for Question 1, because verifiable social and environmental attributes beyond mitigation and credit revenues are generally perceived by buyers as increasing the quality of credits, driving higher market prices.  Specifically, the ICVCM CCP 9. Sustainable Development Benefits and Safeguards (p. 40 onwards in </w:t>
            </w:r>
            <w:r w:rsidR="006E1D13">
              <w:rPr>
                <w:rFonts w:ascii="Calibri" w:hAnsi="Calibri" w:cs="Calibri"/>
              </w:rPr>
              <w:t xml:space="preserve">Section 3 of </w:t>
            </w:r>
            <w:r w:rsidRPr="006B4244">
              <w:rPr>
                <w:rFonts w:ascii="Calibri" w:hAnsi="Calibri" w:cs="Calibri"/>
              </w:rPr>
              <w:t xml:space="preserve">the Assessment Framework) requires compliance to best practice and beyond in the following areas: </w:t>
            </w:r>
            <w:r w:rsidR="008B5F73" w:rsidRPr="006B4244">
              <w:rPr>
                <w:rFonts w:ascii="Calibri" w:hAnsi="Calibri" w:cs="Calibri"/>
              </w:rPr>
              <w:t>Labor</w:t>
            </w:r>
            <w:r w:rsidRPr="006B4244">
              <w:rPr>
                <w:rFonts w:ascii="Calibri" w:hAnsi="Calibri" w:cs="Calibri"/>
              </w:rPr>
              <w:t xml:space="preserve"> Rights and Working Conditions; Resource Efficiency and Pollution Prevention; Land Acquisition and Involuntary Resettlement; Biodiversity Conservation and Sustainable Management of Living Natural Resources; Indigenous Peoples, Local Communities, and Cultural Heritage; Respect for </w:t>
            </w:r>
            <w:r w:rsidRPr="006B4244">
              <w:rPr>
                <w:rFonts w:ascii="Calibri" w:hAnsi="Calibri" w:cs="Calibri"/>
              </w:rPr>
              <w:lastRenderedPageBreak/>
              <w:t>Human Rights, Stakeholder Engagement; Gender Equality; Robust Benefit-Sharing; Cancun Safeguards (for specific kinds of avoided deforestation projects falling under these rules).</w:t>
            </w:r>
          </w:p>
          <w:p w14:paraId="6CDC3CFE"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17. Yes, as raised for Question 1, because the Paris Agreement goal of “[h]</w:t>
            </w:r>
            <w:proofErr w:type="spellStart"/>
            <w:r w:rsidRPr="006B4244">
              <w:rPr>
                <w:rFonts w:ascii="Calibri" w:hAnsi="Calibri" w:cs="Calibri"/>
              </w:rPr>
              <w:t>olding</w:t>
            </w:r>
            <w:proofErr w:type="spellEnd"/>
            <w:r w:rsidRPr="006B4244">
              <w:rPr>
                <w:rFonts w:ascii="Calibri" w:hAnsi="Calibri" w:cs="Calibri"/>
              </w:rPr>
              <w:t xml:space="preserve"> the increase in the global average temperature to well below 2°C above pre-industrial levels and pursuing efforts to limit the temperature increase to 1.5°C above pre-industrial levels” depends on achieving net-zero emissions around mid-century, according to science. If the VCM is to help combat climate change, then this characteristic should be considered by a DCM as an important part of a T&amp;C derivative contract. Specifically, the ICVCM deems ineligible for CCP approval the types of carbon project that undermine a country’s effort to move towards a lower carbon economy, that is, those activities that: directly lead to an increase in the extraction of fossil fuels, such as Carbon Capture and Storage technologies used for Enhanced Oil Recovery; relate to unabated coal-fired electricity generation; involve any other unabated fossil fuel-powered electricity generation other than new gas-fired generation as a part of increased zero-emissions generation capacity in support of national low-carbon energy transition plans; focus on road transport that relies on the continued use of solely fossil-fueled engines.</w:t>
            </w:r>
          </w:p>
          <w:p w14:paraId="581CCEEA" w14:textId="77777777" w:rsidR="006B4244" w:rsidRPr="006B4244" w:rsidRDefault="006B4244" w:rsidP="00A06465">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6B4244">
              <w:rPr>
                <w:rFonts w:ascii="Calibri" w:hAnsi="Calibri" w:cs="Calibri"/>
              </w:rPr>
              <w:t>This CCP requirement is aligned to the work of the Parties (signatories) to the Paris Agreement, including the recent main decision from COP28, which calls on governments to contribute to a series of global efforts including “[t]</w:t>
            </w:r>
            <w:proofErr w:type="spellStart"/>
            <w:r w:rsidRPr="006B4244">
              <w:rPr>
                <w:rFonts w:ascii="Calibri" w:hAnsi="Calibri" w:cs="Calibri"/>
              </w:rPr>
              <w:t>ransitioning</w:t>
            </w:r>
            <w:proofErr w:type="spellEnd"/>
            <w:r w:rsidRPr="006B4244">
              <w:rPr>
                <w:rFonts w:ascii="Calibri" w:hAnsi="Calibri" w:cs="Calibri"/>
              </w:rPr>
              <w:t xml:space="preserve"> away from fossil fuels in energy systems, in a just, orderly and equitable manner, accelerating action in this critical decade, so as to achieve net zero by 2050 in keeping with the science.”</w:t>
            </w:r>
          </w:p>
        </w:tc>
      </w:tr>
    </w:tbl>
    <w:p w14:paraId="3C80DC74" w14:textId="77777777" w:rsidR="006B4244" w:rsidRPr="001068DA" w:rsidRDefault="006B4244" w:rsidP="006B4244">
      <w:pPr>
        <w:sectPr w:rsidR="006B4244" w:rsidRPr="001068DA" w:rsidSect="008A09FD">
          <w:endnotePr>
            <w:numFmt w:val="decimal"/>
          </w:endnotePr>
          <w:pgSz w:w="15840" w:h="12240" w:orient="landscape"/>
          <w:pgMar w:top="1440" w:right="1440" w:bottom="1440" w:left="1440" w:header="1008" w:footer="720" w:gutter="0"/>
          <w:cols w:space="720"/>
          <w:titlePg/>
          <w:docGrid w:linePitch="360"/>
        </w:sectPr>
      </w:pPr>
    </w:p>
    <w:p w14:paraId="1D6FA937" w14:textId="77777777" w:rsidR="003F4F63" w:rsidRDefault="003F4F63" w:rsidP="00F16B7E">
      <w:pPr>
        <w:pStyle w:val="Heading1"/>
        <w:jc w:val="both"/>
        <w:rPr>
          <w:rFonts w:cs="Calibri"/>
        </w:rPr>
      </w:pPr>
    </w:p>
    <w:sectPr w:rsidR="003F4F63" w:rsidSect="008A09FD">
      <w:endnotePr>
        <w:numFmt w:val="decimal"/>
      </w:endnotePr>
      <w:pgSz w:w="12240" w:h="15840"/>
      <w:pgMar w:top="1440" w:right="1440" w:bottom="1440" w:left="1440" w:header="100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BDAB" w14:textId="77777777" w:rsidR="008A09FD" w:rsidRDefault="008A09FD" w:rsidP="00F04237">
      <w:r>
        <w:separator/>
      </w:r>
    </w:p>
  </w:endnote>
  <w:endnote w:type="continuationSeparator" w:id="0">
    <w:p w14:paraId="4F8BEF01" w14:textId="77777777" w:rsidR="008A09FD" w:rsidRDefault="008A09FD" w:rsidP="00F04237">
      <w:r>
        <w:continuationSeparator/>
      </w:r>
    </w:p>
  </w:endnote>
  <w:endnote w:type="continuationNotice" w:id="1">
    <w:p w14:paraId="72BA7C93" w14:textId="77777777" w:rsidR="008A09FD" w:rsidRDefault="008A0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Bold">
    <w:altName w:val="Calibri"/>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tima-Regular">
    <w:charset w:val="00"/>
    <w:family w:val="auto"/>
    <w:pitch w:val="variable"/>
    <w:sig w:usb0="80000067" w:usb1="00000000" w:usb2="00000000" w:usb3="00000000" w:csb0="00000001" w:csb1="00000000"/>
  </w:font>
  <w:font w:name="Optima-Italic">
    <w:altName w:val="Optima"/>
    <w:charset w:val="00"/>
    <w:family w:val="auto"/>
    <w:pitch w:val="variable"/>
    <w:sig w:usb0="80000067" w:usb1="00000000" w:usb2="00000000" w:usb3="00000000" w:csb0="00000001" w:csb1="00000000"/>
  </w:font>
  <w:font w:name="Optima LT Std">
    <w:altName w:val="Calibri"/>
    <w:charset w:val="00"/>
    <w:family w:val="auto"/>
    <w:pitch w:val="variable"/>
    <w:sig w:usb0="80000067" w:usb1="00000000" w:usb2="00000000" w:usb3="00000000" w:csb0="00000001" w:csb1="00000000"/>
  </w:font>
  <w:font w:name="Karla">
    <w:charset w:val="00"/>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54211"/>
      <w:docPartObj>
        <w:docPartGallery w:val="Page Numbers (Bottom of Page)"/>
        <w:docPartUnique/>
      </w:docPartObj>
    </w:sdtPr>
    <w:sdtContent>
      <w:p w14:paraId="5EE5EE1D" w14:textId="2E60552A" w:rsidR="003D2D1B" w:rsidRPr="00BD3970" w:rsidRDefault="00BD3970" w:rsidP="00BD3970">
        <w:pPr>
          <w:pStyle w:val="Footer"/>
          <w:jc w:val="center"/>
          <w:rPr>
            <w:sz w:val="20"/>
            <w:szCs w:val="20"/>
          </w:rPr>
        </w:pPr>
        <w:r w:rsidRPr="0036273B">
          <w:rPr>
            <w:sz w:val="20"/>
            <w:szCs w:val="20"/>
          </w:rPr>
          <w:t>ICVCM Ltd, International House, 24 Holborn Viaduct, London, EC1A 2</w:t>
        </w:r>
        <w:proofErr w:type="gramStart"/>
        <w:r w:rsidRPr="0036273B">
          <w:rPr>
            <w:sz w:val="20"/>
            <w:szCs w:val="20"/>
          </w:rPr>
          <w:t>BN  Company</w:t>
        </w:r>
        <w:proofErr w:type="gramEnd"/>
        <w:r w:rsidRPr="0036273B">
          <w:rPr>
            <w:sz w:val="20"/>
            <w:szCs w:val="20"/>
          </w:rPr>
          <w:t xml:space="preserve"> No. 13718770</w:t>
        </w:r>
        <w:r w:rsidR="003D2D1B" w:rsidRPr="00B83801">
          <w:tab/>
        </w:r>
        <w:r w:rsidR="003D2D1B" w:rsidRPr="00B83801">
          <w:tab/>
        </w:r>
        <w:r w:rsidR="003D2D1B" w:rsidRPr="00B83801">
          <w:fldChar w:fldCharType="begin"/>
        </w:r>
        <w:r w:rsidR="003D2D1B" w:rsidRPr="00B83801">
          <w:instrText xml:space="preserve"> PAGE   \* MERGEFORMAT </w:instrText>
        </w:r>
        <w:r w:rsidR="003D2D1B" w:rsidRPr="00B83801">
          <w:fldChar w:fldCharType="separate"/>
        </w:r>
        <w:r w:rsidR="002E2DC1">
          <w:rPr>
            <w:noProof/>
          </w:rPr>
          <w:t>4</w:t>
        </w:r>
        <w:r w:rsidR="003D2D1B" w:rsidRPr="00B83801">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A73E" w14:textId="77777777" w:rsidR="003F4F63" w:rsidRDefault="00000000" w:rsidP="003F4F63">
    <w:pPr>
      <w:pStyle w:val="Footer"/>
      <w:jc w:val="center"/>
    </w:pPr>
    <w:sdt>
      <w:sdtPr>
        <w:id w:val="-1360349970"/>
        <w:docPartObj>
          <w:docPartGallery w:val="Page Numbers (Bottom of Page)"/>
          <w:docPartUnique/>
        </w:docPartObj>
      </w:sdtPr>
      <w:sdtContent>
        <w:r w:rsidR="00F16B7E" w:rsidRPr="0036273B">
          <w:rPr>
            <w:sz w:val="20"/>
            <w:szCs w:val="20"/>
          </w:rPr>
          <w:t>ICVCM Ltd, International House, 24 Holborn Viaduct, London, EC1A 2</w:t>
        </w:r>
        <w:proofErr w:type="gramStart"/>
        <w:r w:rsidR="00F16B7E" w:rsidRPr="0036273B">
          <w:rPr>
            <w:sz w:val="20"/>
            <w:szCs w:val="20"/>
          </w:rPr>
          <w:t>BN  Company</w:t>
        </w:r>
        <w:proofErr w:type="gramEnd"/>
        <w:r w:rsidR="00F16B7E" w:rsidRPr="0036273B">
          <w:rPr>
            <w:sz w:val="20"/>
            <w:szCs w:val="20"/>
          </w:rPr>
          <w:t xml:space="preserve"> No. 13718770</w:t>
        </w:r>
        <w:r w:rsidR="003D2D1B" w:rsidRPr="00294798">
          <w:tab/>
        </w:r>
        <w:r w:rsidR="003D2D1B" w:rsidRPr="00294798">
          <w:tab/>
        </w:r>
        <w:r w:rsidR="003D2D1B" w:rsidRPr="00294798">
          <w:fldChar w:fldCharType="begin"/>
        </w:r>
        <w:r w:rsidR="003D2D1B" w:rsidRPr="00294798">
          <w:instrText xml:space="preserve"> PAGE   \* MERGEFORMAT </w:instrText>
        </w:r>
        <w:r w:rsidR="003D2D1B" w:rsidRPr="00294798">
          <w:fldChar w:fldCharType="separate"/>
        </w:r>
        <w:r w:rsidR="002E2DC1">
          <w:rPr>
            <w:noProof/>
          </w:rPr>
          <w:t>3</w:t>
        </w:r>
        <w:r w:rsidR="003D2D1B" w:rsidRPr="00294798">
          <w:fldChar w:fldCharType="end"/>
        </w:r>
      </w:sdtContent>
    </w:sdt>
  </w:p>
  <w:p w14:paraId="53E47275" w14:textId="722DE8FC" w:rsidR="003D2D1B" w:rsidRPr="003F4F63" w:rsidRDefault="003F4F63" w:rsidP="003F4F63">
    <w:pPr>
      <w:tabs>
        <w:tab w:val="right" w:pos="9360"/>
      </w:tabs>
      <w:spacing w:line="240" w:lineRule="auto"/>
      <w:rPr>
        <w:rFonts w:ascii="Times New Roman" w:hAnsi="Times New Roman" w:cs="Times New Roman"/>
        <w:sz w:val="15"/>
      </w:rPr>
    </w:pPr>
    <w:r w:rsidRPr="003F4F63">
      <w:rPr>
        <w:rFonts w:ascii="Times New Roman" w:hAnsi="Times New Roman" w:cs="Times New Roman"/>
        <w:sz w:val="14"/>
      </w:rPr>
      <w:fldChar w:fldCharType="begin"/>
    </w:r>
    <w:r w:rsidRPr="003F4F63">
      <w:rPr>
        <w:rFonts w:ascii="Times New Roman" w:hAnsi="Times New Roman" w:cs="Times New Roman"/>
        <w:sz w:val="14"/>
      </w:rPr>
      <w:instrText xml:space="preserve"> DOCPROPERTY DPWPathText \* MERGEFORMAT </w:instrText>
    </w:r>
    <w:r w:rsidRPr="003F4F63">
      <w:rPr>
        <w:rFonts w:ascii="Times New Roman" w:hAnsi="Times New Roman" w:cs="Times New Roman"/>
        <w:sz w:val="14"/>
      </w:rPr>
      <w:fldChar w:fldCharType="separate"/>
    </w:r>
    <w:r>
      <w:rPr>
        <w:rFonts w:ascii="Times New Roman" w:hAnsi="Times New Roman" w:cs="Times New Roman"/>
        <w:sz w:val="14"/>
      </w:rPr>
      <w:t>#97911364v1</w:t>
    </w:r>
    <w:r w:rsidRPr="003F4F63">
      <w:rPr>
        <w:rFonts w:ascii="Times New Roman" w:hAnsi="Times New Roman" w:cs="Times New Roman"/>
        <w:sz w:val="14"/>
      </w:rPr>
      <w:fldChar w:fldCharType="end"/>
    </w:r>
    <w:r w:rsidRPr="003F4F63">
      <w:rPr>
        <w:rFonts w:ascii="Times New Roman" w:hAnsi="Times New Roman" w:cs="Times New Roman"/>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E92B" w14:textId="77777777" w:rsidR="003F4F63" w:rsidRDefault="003F4F63" w:rsidP="003F4F63">
    <w:pPr>
      <w:pStyle w:val="Footer"/>
    </w:pPr>
  </w:p>
  <w:p w14:paraId="40F4C119" w14:textId="16EC79B4" w:rsidR="003F4F63" w:rsidRPr="003F4F63" w:rsidRDefault="003F4F63" w:rsidP="003F4F63">
    <w:pPr>
      <w:tabs>
        <w:tab w:val="right" w:pos="9360"/>
      </w:tabs>
      <w:spacing w:line="240" w:lineRule="auto"/>
      <w:rPr>
        <w:rFonts w:ascii="Times New Roman" w:hAnsi="Times New Roman" w:cs="Times New Roman"/>
        <w:sz w:val="15"/>
      </w:rPr>
    </w:pPr>
    <w:r w:rsidRPr="003F4F63">
      <w:rPr>
        <w:rFonts w:ascii="Times New Roman" w:hAnsi="Times New Roman" w:cs="Times New Roman"/>
        <w:sz w:val="14"/>
      </w:rPr>
      <w:fldChar w:fldCharType="begin"/>
    </w:r>
    <w:r w:rsidRPr="003F4F63">
      <w:rPr>
        <w:rFonts w:ascii="Times New Roman" w:hAnsi="Times New Roman" w:cs="Times New Roman"/>
        <w:sz w:val="14"/>
      </w:rPr>
      <w:instrText xml:space="preserve"> DOCPROPERTY DPWPathText \* MERGEFORMAT </w:instrText>
    </w:r>
    <w:r w:rsidRPr="003F4F63">
      <w:rPr>
        <w:rFonts w:ascii="Times New Roman" w:hAnsi="Times New Roman" w:cs="Times New Roman"/>
        <w:sz w:val="14"/>
      </w:rPr>
      <w:fldChar w:fldCharType="separate"/>
    </w:r>
    <w:r>
      <w:rPr>
        <w:rFonts w:ascii="Times New Roman" w:hAnsi="Times New Roman" w:cs="Times New Roman"/>
        <w:sz w:val="14"/>
      </w:rPr>
      <w:t>#97911364v1</w:t>
    </w:r>
    <w:r w:rsidRPr="003F4F63">
      <w:rPr>
        <w:rFonts w:ascii="Times New Roman" w:hAnsi="Times New Roman" w:cs="Times New Roman"/>
        <w:sz w:val="14"/>
      </w:rPr>
      <w:fldChar w:fldCharType="end"/>
    </w:r>
    <w:r w:rsidRPr="003F4F63">
      <w:rPr>
        <w:rFonts w:ascii="Times New Roman" w:hAnsi="Times New Roman" w:cs="Times New Roman"/>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D1A2" w14:textId="77777777" w:rsidR="008A09FD" w:rsidRDefault="008A09FD" w:rsidP="00F04237">
      <w:r>
        <w:separator/>
      </w:r>
    </w:p>
  </w:footnote>
  <w:footnote w:type="continuationSeparator" w:id="0">
    <w:p w14:paraId="28B16704" w14:textId="77777777" w:rsidR="008A09FD" w:rsidRDefault="008A09FD" w:rsidP="00F04237">
      <w:r>
        <w:continuationSeparator/>
      </w:r>
    </w:p>
  </w:footnote>
  <w:footnote w:type="continuationNotice" w:id="1">
    <w:p w14:paraId="31C0E7AC" w14:textId="77777777" w:rsidR="008A09FD" w:rsidRDefault="008A09FD">
      <w:pPr>
        <w:spacing w:after="0" w:line="240" w:lineRule="auto"/>
      </w:pPr>
    </w:p>
  </w:footnote>
  <w:footnote w:id="2">
    <w:p w14:paraId="7DDEB67F" w14:textId="77777777" w:rsidR="003B0B56" w:rsidRPr="00EF010E" w:rsidRDefault="003B0B56" w:rsidP="003B0B56">
      <w:pPr>
        <w:pStyle w:val="FootnoteText"/>
        <w:rPr>
          <w:rFonts w:ascii="Calibri" w:hAnsi="Calibri" w:cs="Calibri"/>
        </w:rPr>
      </w:pPr>
      <w:r w:rsidRPr="00EF010E">
        <w:rPr>
          <w:rStyle w:val="FootnoteReference"/>
          <w:rFonts w:ascii="Calibri" w:hAnsi="Calibri" w:cs="Calibri"/>
        </w:rPr>
        <w:footnoteRef/>
      </w:r>
      <w:r w:rsidRPr="00EF010E">
        <w:rPr>
          <w:rFonts w:ascii="Calibri" w:hAnsi="Calibri" w:cs="Calibri"/>
        </w:rPr>
        <w:t xml:space="preserve"> </w:t>
      </w:r>
      <w:hyperlink r:id="rId1" w:history="1">
        <w:r w:rsidRPr="00EF010E">
          <w:rPr>
            <w:rStyle w:val="Hyperlink"/>
            <w:rFonts w:ascii="Calibri" w:hAnsi="Calibri" w:cs="Calibri"/>
          </w:rPr>
          <w:t>https://www.cftc.gov/sites/default/files/2023/12/2023-28532a.pdf</w:t>
        </w:r>
      </w:hyperlink>
      <w:r w:rsidRPr="00EF010E">
        <w:rPr>
          <w:rFonts w:ascii="Calibri" w:hAnsi="Calibri" w:cs="Calibri"/>
        </w:rPr>
        <w:t xml:space="preserve">. </w:t>
      </w:r>
    </w:p>
  </w:footnote>
  <w:footnote w:id="3">
    <w:p w14:paraId="2FACD18D" w14:textId="350782E8" w:rsidR="00407AA1" w:rsidRPr="00EF010E" w:rsidRDefault="00407AA1">
      <w:pPr>
        <w:pStyle w:val="FootnoteText"/>
        <w:rPr>
          <w:rFonts w:ascii="Calibri" w:hAnsi="Calibri" w:cs="Calibri"/>
        </w:rPr>
      </w:pPr>
      <w:r w:rsidRPr="00EF010E">
        <w:rPr>
          <w:rStyle w:val="FootnoteReference"/>
          <w:rFonts w:ascii="Calibri" w:hAnsi="Calibri" w:cs="Calibri"/>
        </w:rPr>
        <w:footnoteRef/>
      </w:r>
      <w:r w:rsidRPr="00EF010E">
        <w:rPr>
          <w:rFonts w:ascii="Calibri" w:hAnsi="Calibri" w:cs="Calibri"/>
        </w:rPr>
        <w:t xml:space="preserve"> </w:t>
      </w:r>
      <w:hyperlink r:id="rId2" w:history="1">
        <w:r w:rsidR="00A54BE9" w:rsidRPr="00EF010E">
          <w:rPr>
            <w:rStyle w:val="Hyperlink"/>
            <w:rFonts w:ascii="Calibri" w:hAnsi="Calibri" w:cs="Calibri"/>
          </w:rPr>
          <w:t>https://www.cftc.gov/sites/default/files/2023/12/PR%208829-23.pdf</w:t>
        </w:r>
      </w:hyperlink>
      <w:r w:rsidR="00A54BE9" w:rsidRPr="00EF010E">
        <w:rPr>
          <w:rFonts w:ascii="Calibri" w:hAnsi="Calibri" w:cs="Calibri"/>
        </w:rPr>
        <w:t xml:space="preserve">. </w:t>
      </w:r>
    </w:p>
  </w:footnote>
  <w:footnote w:id="4">
    <w:p w14:paraId="497DB56B" w14:textId="77777777" w:rsidR="00A2627F" w:rsidRDefault="00A2627F" w:rsidP="00A2627F">
      <w:pPr>
        <w:pStyle w:val="FootnoteText"/>
      </w:pPr>
      <w:r w:rsidRPr="00EF010E">
        <w:rPr>
          <w:rStyle w:val="FootnoteReference"/>
          <w:rFonts w:ascii="Calibri" w:hAnsi="Calibri" w:cs="Calibri"/>
        </w:rPr>
        <w:footnoteRef/>
      </w:r>
      <w:r w:rsidRPr="00EF010E">
        <w:rPr>
          <w:rFonts w:ascii="Calibri" w:hAnsi="Calibri" w:cs="Calibri"/>
        </w:rPr>
        <w:t xml:space="preserve"> </w:t>
      </w:r>
      <w:hyperlink r:id="rId3" w:history="1">
        <w:r w:rsidRPr="00EF010E">
          <w:rPr>
            <w:rStyle w:val="Hyperlink"/>
            <w:rFonts w:ascii="Calibri" w:hAnsi="Calibri" w:cs="Calibri"/>
          </w:rPr>
          <w:t>https://icvcm.org/the-core-carbon-principles/</w:t>
        </w:r>
      </w:hyperlink>
      <w:r w:rsidRPr="00EF010E">
        <w:rPr>
          <w:rFonts w:ascii="Calibri" w:hAnsi="Calibri" w:cs="Calibri"/>
        </w:rPr>
        <w:t>.</w:t>
      </w:r>
      <w:r>
        <w:t xml:space="preserve"> </w:t>
      </w:r>
    </w:p>
  </w:footnote>
  <w:footnote w:id="5">
    <w:p w14:paraId="36962548" w14:textId="77777777" w:rsidR="006B4244" w:rsidRPr="0087644B" w:rsidRDefault="006B4244" w:rsidP="006B4244">
      <w:pPr>
        <w:pStyle w:val="FootnoteText"/>
        <w:rPr>
          <w:rFonts w:ascii="Calibri" w:hAnsi="Calibri" w:cs="Calibri"/>
        </w:rPr>
      </w:pPr>
      <w:r w:rsidRPr="0087644B">
        <w:rPr>
          <w:rStyle w:val="FootnoteReference"/>
          <w:rFonts w:ascii="Calibri" w:hAnsi="Calibri" w:cs="Calibri"/>
        </w:rPr>
        <w:footnoteRef/>
      </w:r>
      <w:r w:rsidRPr="0087644B">
        <w:rPr>
          <w:rFonts w:ascii="Calibri" w:hAnsi="Calibri" w:cs="Calibri"/>
        </w:rPr>
        <w:t xml:space="preserve"> See full question drafting in the Proposal’s Request for Comment.</w:t>
      </w:r>
    </w:p>
  </w:footnote>
  <w:footnote w:id="6">
    <w:p w14:paraId="39211E83" w14:textId="77777777" w:rsidR="006B4244" w:rsidRPr="0087644B" w:rsidRDefault="006B4244" w:rsidP="006B4244">
      <w:pPr>
        <w:pStyle w:val="FootnoteText"/>
        <w:jc w:val="both"/>
        <w:rPr>
          <w:rFonts w:ascii="Calibri" w:hAnsi="Calibri" w:cs="Calibri"/>
        </w:rPr>
      </w:pPr>
      <w:r w:rsidRPr="0087644B">
        <w:rPr>
          <w:rStyle w:val="FootnoteReference"/>
          <w:rFonts w:ascii="Calibri" w:hAnsi="Calibri" w:cs="Calibri"/>
        </w:rPr>
        <w:footnoteRef/>
      </w:r>
      <w:r w:rsidRPr="0087644B">
        <w:rPr>
          <w:rFonts w:ascii="Calibri" w:hAnsi="Calibri" w:cs="Calibri"/>
        </w:rPr>
        <w:t xml:space="preserve"> Article 6 of the Paris Agreement includes Article 6.2 Cooperative approaches, that is, country-led bilateral cooperation involving transactions of “ITMOs,” between Parties toward NDCs or between a Party and a non-Party for other international mitigation purposes such as the VCM, which need to be authorized thus correspondingly adjusted to avoid double counting; and Article 6.4 mechanism, UNFCCC centralized crediting mechanism successor to the CDM, with a supervisory body, which approves methodologies and projects and issue A6.4 ERs, akin to a carbon crediting program.</w:t>
      </w:r>
    </w:p>
  </w:footnote>
  <w:footnote w:id="7">
    <w:p w14:paraId="469C5BE2" w14:textId="5658E98F" w:rsidR="006B4244" w:rsidRDefault="006B4244" w:rsidP="006B4244">
      <w:pPr>
        <w:pStyle w:val="FootnoteText"/>
      </w:pPr>
      <w:r w:rsidRPr="0087644B">
        <w:rPr>
          <w:rStyle w:val="FootnoteReference"/>
          <w:rFonts w:ascii="Calibri" w:hAnsi="Calibri" w:cs="Calibri"/>
        </w:rPr>
        <w:footnoteRef/>
      </w:r>
      <w:r w:rsidRPr="0087644B">
        <w:rPr>
          <w:rFonts w:ascii="Calibri" w:hAnsi="Calibri" w:cs="Calibri"/>
        </w:rPr>
        <w:t xml:space="preserve"> </w:t>
      </w:r>
      <w:r w:rsidR="009551C5" w:rsidRPr="005476FB">
        <w:rPr>
          <w:rFonts w:ascii="Calibri" w:hAnsi="Calibri" w:cs="Calibri"/>
        </w:rPr>
        <w:t xml:space="preserve">“Voluntary Carbon Credit Buyers Willing to Pay More For Quality,” December 4, 2023, </w:t>
      </w:r>
      <w:hyperlink r:id="rId4" w:anchor=":~:text=Analysis%20of%20transaction%20data%20indicates,for%20credits%20of%20superior%20quality" w:history="1">
        <w:r w:rsidR="009551C5" w:rsidRPr="005476FB">
          <w:rPr>
            <w:rStyle w:val="Hyperlink"/>
            <w:rFonts w:ascii="Calibri" w:hAnsi="Calibri" w:cs="Calibri"/>
          </w:rPr>
          <w:t>https://carboncredits.com/voluntary-carbon-credit-buyers-willing-to-pay-more-for-quality/#:~:text=Analysis%20of%20transaction%20data%20indicates,for%20credits%20of%20superior%20quality</w:t>
        </w:r>
      </w:hyperlink>
      <w:r w:rsidR="009551C5" w:rsidRPr="005476FB">
        <w:rPr>
          <w:rFonts w:ascii="Calibri" w:hAnsi="Calibri" w:cs="Calibri"/>
        </w:rPr>
        <w:t xml:space="preserve"> and Ecosystem Marketplace (October 2023), 2023 State of the Voluntary Carbon Markets Report, </w:t>
      </w:r>
      <w:hyperlink r:id="rId5" w:history="1">
        <w:r w:rsidR="009551C5" w:rsidRPr="005476FB">
          <w:rPr>
            <w:rStyle w:val="Hyperlink"/>
            <w:rFonts w:ascii="Calibri" w:hAnsi="Calibri" w:cs="Calibri"/>
          </w:rPr>
          <w:t>https://www.ecosystemmarketplace.com/publications/state-of-the-voluntary-carbon-market-report-2023/</w:t>
        </w:r>
      </w:hyperlink>
      <w:r w:rsidR="001F400F">
        <w:rPr>
          <w:rStyle w:val="Hyperlink"/>
          <w:rFonts w:ascii="Calibri" w:hAnsi="Calibri" w:cs="Calibri"/>
        </w:rPr>
        <w:t xml:space="preserve">. </w:t>
      </w:r>
      <w:hyperlink w:history="1"/>
    </w:p>
  </w:footnote>
  <w:footnote w:id="8">
    <w:p w14:paraId="777DD433" w14:textId="2099A76C" w:rsidR="006B4244" w:rsidRPr="0087644B" w:rsidRDefault="006B4244" w:rsidP="006B4244">
      <w:pPr>
        <w:pStyle w:val="FootnoteText"/>
        <w:rPr>
          <w:rFonts w:ascii="Calibri" w:hAnsi="Calibri" w:cs="Calibri"/>
        </w:rPr>
      </w:pPr>
      <w:r w:rsidRPr="0087644B">
        <w:rPr>
          <w:rStyle w:val="FootnoteReference"/>
          <w:rFonts w:ascii="Calibri" w:hAnsi="Calibri" w:cs="Calibri"/>
        </w:rPr>
        <w:footnoteRef/>
      </w:r>
      <w:r w:rsidRPr="0087644B">
        <w:rPr>
          <w:rFonts w:ascii="Calibri" w:hAnsi="Calibri" w:cs="Calibri"/>
        </w:rPr>
        <w:t xml:space="preserve"> </w:t>
      </w:r>
      <w:r w:rsidR="001B2D2F" w:rsidRPr="005476FB">
        <w:rPr>
          <w:rFonts w:ascii="Calibri" w:hAnsi="Calibri" w:cs="Calibri"/>
        </w:rPr>
        <w:t xml:space="preserve">The Integrity Council for the Voluntary Carbon Market (2023), Section 4. Assessment Framework – Core Carbon Principles, January 2024, Version 2,  </w:t>
      </w:r>
      <w:hyperlink r:id="rId6" w:history="1">
        <w:r w:rsidR="001B2D2F" w:rsidRPr="005476FB">
          <w:rPr>
            <w:rStyle w:val="Hyperlink"/>
            <w:rFonts w:ascii="Calibri" w:hAnsi="Calibri" w:cs="Calibri"/>
          </w:rPr>
          <w:t>https://icvcm.org/wp-content/uploads/2024/02/CCP-Section-4-V2-FINAL-6Feb24.pdf</w:t>
        </w:r>
      </w:hyperlink>
      <w:r w:rsidR="001B2D2F" w:rsidRPr="005476FB">
        <w:rPr>
          <w:rFonts w:ascii="Calibri" w:hAnsi="Calibri" w:cs="Calibri"/>
        </w:rPr>
        <w:t>.</w:t>
      </w:r>
      <w:r w:rsidR="001B2D2F">
        <w:t xml:space="preserve"> </w:t>
      </w:r>
    </w:p>
  </w:footnote>
  <w:footnote w:id="9">
    <w:p w14:paraId="1B6135C1" w14:textId="40A12A94" w:rsidR="001F573D" w:rsidRPr="005476FB" w:rsidRDefault="001F573D">
      <w:pPr>
        <w:pStyle w:val="FootnoteText"/>
        <w:rPr>
          <w:rFonts w:ascii="Calibri" w:hAnsi="Calibri" w:cs="Calibri"/>
        </w:rPr>
      </w:pPr>
      <w:r w:rsidRPr="005476FB">
        <w:rPr>
          <w:rStyle w:val="FootnoteReference"/>
          <w:rFonts w:ascii="Calibri" w:hAnsi="Calibri" w:cs="Calibri"/>
        </w:rPr>
        <w:footnoteRef/>
      </w:r>
      <w:r w:rsidRPr="005476FB">
        <w:rPr>
          <w:rFonts w:ascii="Calibri" w:hAnsi="Calibri" w:cs="Calibri"/>
        </w:rPr>
        <w:t xml:space="preserve"> </w:t>
      </w:r>
      <w:r w:rsidR="0094499C" w:rsidRPr="005476FB">
        <w:rPr>
          <w:rFonts w:ascii="Calibri" w:hAnsi="Calibri" w:cs="Calibri"/>
        </w:rPr>
        <w:t xml:space="preserve">The Integrity Council for the Voluntary Carbon Market (2023), Section 3. Summary for Decision Makers – Core Carbon Principles, January 2024, Version 2,    </w:t>
      </w:r>
      <w:hyperlink r:id="rId7" w:history="1">
        <w:r w:rsidR="0094499C" w:rsidRPr="005476FB">
          <w:rPr>
            <w:rStyle w:val="Hyperlink"/>
            <w:rFonts w:ascii="Calibri" w:hAnsi="Calibri" w:cs="Calibri"/>
          </w:rPr>
          <w:t>https://icvcm.org/wp-content/uploads/2024/02/CCP-Section-3-V2-FINAL-6Feb24.pdf</w:t>
        </w:r>
      </w:hyperlink>
      <w:r w:rsidR="0094499C" w:rsidRPr="005476FB">
        <w:rPr>
          <w:rFonts w:ascii="Calibri" w:hAnsi="Calibri" w:cs="Calibri"/>
        </w:rPr>
        <w:t>.</w:t>
      </w:r>
    </w:p>
  </w:footnote>
  <w:footnote w:id="10">
    <w:p w14:paraId="3142A655" w14:textId="1A502A0B" w:rsidR="006B4244" w:rsidRPr="005476FB" w:rsidRDefault="006B4244" w:rsidP="006B4244">
      <w:pPr>
        <w:pStyle w:val="FootnoteText"/>
        <w:rPr>
          <w:rFonts w:ascii="Calibri" w:hAnsi="Calibri" w:cs="Calibri"/>
        </w:rPr>
      </w:pPr>
      <w:r w:rsidRPr="005476FB">
        <w:rPr>
          <w:rStyle w:val="FootnoteReference"/>
          <w:rFonts w:ascii="Calibri" w:hAnsi="Calibri" w:cs="Calibri"/>
        </w:rPr>
        <w:footnoteRef/>
      </w:r>
      <w:r w:rsidRPr="005476FB">
        <w:rPr>
          <w:rFonts w:ascii="Calibri" w:hAnsi="Calibri" w:cs="Calibri"/>
        </w:rPr>
        <w:t xml:space="preserve"> Example contracts can be found </w:t>
      </w:r>
      <w:r w:rsidR="00327256" w:rsidRPr="005476FB">
        <w:rPr>
          <w:rFonts w:ascii="Calibri" w:hAnsi="Calibri" w:cs="Calibri"/>
        </w:rPr>
        <w:t xml:space="preserve">at “IETA, Trading Documents,” February 14, 2024, </w:t>
      </w:r>
      <w:r w:rsidRPr="005476FB">
        <w:rPr>
          <w:rFonts w:ascii="Calibri" w:hAnsi="Calibri" w:cs="Calibri"/>
        </w:rPr>
        <w:t xml:space="preserve"> </w:t>
      </w:r>
      <w:hyperlink r:id="rId8" w:history="1">
        <w:r w:rsidRPr="00250DCD">
          <w:rPr>
            <w:rStyle w:val="Hyperlink"/>
            <w:rFonts w:ascii="Calibri" w:hAnsi="Calibri" w:cs="Calibri"/>
            <w:color w:val="auto"/>
          </w:rPr>
          <w:t>https://www.ieta.org/resources/trading-documents/</w:t>
        </w:r>
      </w:hyperlink>
      <w:r w:rsidRPr="005476FB">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09355" w14:textId="582EC726" w:rsidR="00F16B7E" w:rsidRDefault="00623007">
    <w:pPr>
      <w:pStyle w:val="Header"/>
    </w:pPr>
    <w:r>
      <w:rPr>
        <w:noProof/>
      </w:rPr>
      <w:drawing>
        <wp:anchor distT="0" distB="0" distL="114300" distR="114300" simplePos="0" relativeHeight="251658240" behindDoc="0" locked="0" layoutInCell="1" allowOverlap="1" wp14:anchorId="159AD094" wp14:editId="162DEC57">
          <wp:simplePos x="0" y="0"/>
          <wp:positionH relativeFrom="margin">
            <wp:posOffset>1359673</wp:posOffset>
          </wp:positionH>
          <wp:positionV relativeFrom="paragraph">
            <wp:posOffset>-462087</wp:posOffset>
          </wp:positionV>
          <wp:extent cx="2802890" cy="675005"/>
          <wp:effectExtent l="0" t="0" r="0" b="0"/>
          <wp:wrapSquare wrapText="bothSides"/>
          <wp:docPr id="1916158219" name="Picture 19161582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CD0E" w14:textId="21F85A68" w:rsidR="00F16B7E" w:rsidRDefault="00623007">
    <w:pPr>
      <w:pStyle w:val="Header"/>
    </w:pPr>
    <w:r>
      <w:rPr>
        <w:noProof/>
      </w:rPr>
      <w:drawing>
        <wp:anchor distT="0" distB="0" distL="114300" distR="114300" simplePos="0" relativeHeight="251658241" behindDoc="0" locked="0" layoutInCell="1" allowOverlap="1" wp14:anchorId="4FB10931" wp14:editId="76422FE8">
          <wp:simplePos x="0" y="0"/>
          <wp:positionH relativeFrom="margin">
            <wp:posOffset>1653761</wp:posOffset>
          </wp:positionH>
          <wp:positionV relativeFrom="paragraph">
            <wp:posOffset>-516890</wp:posOffset>
          </wp:positionV>
          <wp:extent cx="2802890" cy="675005"/>
          <wp:effectExtent l="0" t="0" r="0" b="0"/>
          <wp:wrapSquare wrapText="bothSides"/>
          <wp:docPr id="736345837" name="Picture 7363458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F54B" w14:textId="28484FDD" w:rsidR="003D2D1B" w:rsidRDefault="00110BE5" w:rsidP="00F04237">
    <w:pPr>
      <w:pStyle w:val="Header"/>
    </w:pPr>
    <w:r>
      <w:rPr>
        <w:noProof/>
      </w:rPr>
      <w:drawing>
        <wp:anchor distT="0" distB="0" distL="114300" distR="114300" simplePos="0" relativeHeight="251658242" behindDoc="0" locked="0" layoutInCell="1" allowOverlap="1" wp14:anchorId="78C31C97" wp14:editId="1329F4B5">
          <wp:simplePos x="0" y="0"/>
          <wp:positionH relativeFrom="margin">
            <wp:posOffset>1343770</wp:posOffset>
          </wp:positionH>
          <wp:positionV relativeFrom="paragraph">
            <wp:posOffset>-390525</wp:posOffset>
          </wp:positionV>
          <wp:extent cx="2802890" cy="675005"/>
          <wp:effectExtent l="0" t="0" r="0" b="0"/>
          <wp:wrapSquare wrapText="bothSides"/>
          <wp:docPr id="1896831660" name="Picture 18968316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890" cy="675005"/>
                  </a:xfrm>
                  <a:prstGeom prst="rect">
                    <a:avLst/>
                  </a:prstGeom>
                  <a:noFill/>
                  <a:ln>
                    <a:noFill/>
                  </a:ln>
                </pic:spPr>
              </pic:pic>
            </a:graphicData>
          </a:graphic>
        </wp:anchor>
      </w:drawing>
    </w:r>
    <w:r w:rsidR="003D2D1B">
      <w:tab/>
    </w:r>
    <w:r w:rsidR="003D2D1B">
      <w:tab/>
    </w:r>
    <w:r w:rsidR="003D2D1B">
      <w:br/>
    </w:r>
  </w:p>
  <w:p w14:paraId="1F4A0402" w14:textId="3F8A09DC" w:rsidR="003D2D1B" w:rsidRDefault="003D2D1B" w:rsidP="00F0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12B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AC02B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FB8DE8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098F8D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98C81E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374027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D92B4A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E0091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0A2C5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A0E65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CB61BE2"/>
    <w:lvl w:ilvl="0">
      <w:start w:val="1"/>
      <w:numFmt w:val="bullet"/>
      <w:pStyle w:val="ListBullet"/>
      <w:lvlText w:val=""/>
      <w:lvlJc w:val="left"/>
      <w:pPr>
        <w:tabs>
          <w:tab w:val="num" w:pos="720"/>
        </w:tabs>
        <w:ind w:left="720" w:hanging="360"/>
      </w:pPr>
      <w:rPr>
        <w:rFonts w:ascii="Symbol" w:hAnsi="Symbol" w:hint="default"/>
      </w:rPr>
    </w:lvl>
  </w:abstractNum>
  <w:abstractNum w:abstractNumId="11" w15:restartNumberingAfterBreak="0">
    <w:nsid w:val="004D3404"/>
    <w:multiLevelType w:val="hybridMultilevel"/>
    <w:tmpl w:val="3C003BFE"/>
    <w:lvl w:ilvl="0" w:tplc="38C42A10">
      <w:start w:val="8"/>
      <w:numFmt w:val="bullet"/>
      <w:lvlText w:val=""/>
      <w:lvlJc w:val="left"/>
      <w:pPr>
        <w:ind w:left="360" w:hanging="360"/>
      </w:pPr>
      <w:rPr>
        <w:rFonts w:ascii="Symbol" w:hAnsi="Symbol" w:hint="default"/>
      </w:rPr>
    </w:lvl>
    <w:lvl w:ilvl="1" w:tplc="FFAC1590">
      <w:start w:val="1"/>
      <w:numFmt w:val="bullet"/>
      <w:lvlText w:val="o"/>
      <w:lvlJc w:val="left"/>
      <w:pPr>
        <w:ind w:left="1080" w:hanging="360"/>
      </w:pPr>
      <w:rPr>
        <w:rFonts w:ascii="Courier New" w:hAnsi="Courier New" w:hint="default"/>
      </w:rPr>
    </w:lvl>
    <w:lvl w:ilvl="2" w:tplc="830CFF32">
      <w:start w:val="1"/>
      <w:numFmt w:val="bullet"/>
      <w:lvlText w:val=""/>
      <w:lvlJc w:val="left"/>
      <w:pPr>
        <w:ind w:left="1800" w:hanging="360"/>
      </w:pPr>
      <w:rPr>
        <w:rFonts w:ascii="Wingdings" w:hAnsi="Wingdings" w:hint="default"/>
      </w:rPr>
    </w:lvl>
    <w:lvl w:ilvl="3" w:tplc="B26EBDF2">
      <w:start w:val="1"/>
      <w:numFmt w:val="bullet"/>
      <w:lvlText w:val=""/>
      <w:lvlJc w:val="left"/>
      <w:pPr>
        <w:ind w:left="2520" w:hanging="360"/>
      </w:pPr>
      <w:rPr>
        <w:rFonts w:ascii="Symbol" w:hAnsi="Symbol" w:hint="default"/>
      </w:rPr>
    </w:lvl>
    <w:lvl w:ilvl="4" w:tplc="97C282CE">
      <w:start w:val="1"/>
      <w:numFmt w:val="bullet"/>
      <w:lvlText w:val="o"/>
      <w:lvlJc w:val="left"/>
      <w:pPr>
        <w:ind w:left="3240" w:hanging="360"/>
      </w:pPr>
      <w:rPr>
        <w:rFonts w:ascii="Courier New" w:hAnsi="Courier New" w:hint="default"/>
      </w:rPr>
    </w:lvl>
    <w:lvl w:ilvl="5" w:tplc="8C20308A">
      <w:start w:val="1"/>
      <w:numFmt w:val="bullet"/>
      <w:lvlText w:val=""/>
      <w:lvlJc w:val="left"/>
      <w:pPr>
        <w:ind w:left="3960" w:hanging="360"/>
      </w:pPr>
      <w:rPr>
        <w:rFonts w:ascii="Wingdings" w:hAnsi="Wingdings" w:hint="default"/>
      </w:rPr>
    </w:lvl>
    <w:lvl w:ilvl="6" w:tplc="715A1898">
      <w:start w:val="1"/>
      <w:numFmt w:val="bullet"/>
      <w:lvlText w:val=""/>
      <w:lvlJc w:val="left"/>
      <w:pPr>
        <w:ind w:left="4680" w:hanging="360"/>
      </w:pPr>
      <w:rPr>
        <w:rFonts w:ascii="Symbol" w:hAnsi="Symbol" w:hint="default"/>
      </w:rPr>
    </w:lvl>
    <w:lvl w:ilvl="7" w:tplc="C51A008E">
      <w:start w:val="1"/>
      <w:numFmt w:val="bullet"/>
      <w:lvlText w:val="o"/>
      <w:lvlJc w:val="left"/>
      <w:pPr>
        <w:ind w:left="5400" w:hanging="360"/>
      </w:pPr>
      <w:rPr>
        <w:rFonts w:ascii="Courier New" w:hAnsi="Courier New" w:hint="default"/>
      </w:rPr>
    </w:lvl>
    <w:lvl w:ilvl="8" w:tplc="979470F0">
      <w:start w:val="1"/>
      <w:numFmt w:val="bullet"/>
      <w:lvlText w:val=""/>
      <w:lvlJc w:val="left"/>
      <w:pPr>
        <w:ind w:left="6120" w:hanging="360"/>
      </w:pPr>
      <w:rPr>
        <w:rFonts w:ascii="Wingdings" w:hAnsi="Wingdings" w:hint="default"/>
      </w:rPr>
    </w:lvl>
  </w:abstractNum>
  <w:abstractNum w:abstractNumId="12" w15:restartNumberingAfterBreak="0">
    <w:nsid w:val="0C5C49A8"/>
    <w:multiLevelType w:val="hybridMultilevel"/>
    <w:tmpl w:val="EDEC3BF8"/>
    <w:lvl w:ilvl="0" w:tplc="66AE89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7D3A7B"/>
    <w:multiLevelType w:val="hybridMultilevel"/>
    <w:tmpl w:val="5B5C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30976"/>
    <w:multiLevelType w:val="hybridMultilevel"/>
    <w:tmpl w:val="69E84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ED06CF"/>
    <w:multiLevelType w:val="hybridMultilevel"/>
    <w:tmpl w:val="349A8370"/>
    <w:lvl w:ilvl="0" w:tplc="AD52C5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703F3"/>
    <w:multiLevelType w:val="hybridMultilevel"/>
    <w:tmpl w:val="59F21662"/>
    <w:lvl w:ilvl="0" w:tplc="5A9466BA">
      <w:start w:val="15"/>
      <w:numFmt w:val="bullet"/>
      <w:lvlText w:val="-"/>
      <w:lvlJc w:val="left"/>
      <w:pPr>
        <w:ind w:left="400" w:hanging="360"/>
      </w:pPr>
      <w:rPr>
        <w:rFonts w:ascii="Garamond" w:eastAsiaTheme="minorEastAsia" w:hAnsi="Garamond"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7" w15:restartNumberingAfterBreak="0">
    <w:nsid w:val="26F54FE2"/>
    <w:multiLevelType w:val="hybridMultilevel"/>
    <w:tmpl w:val="2D1AB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BD685B"/>
    <w:multiLevelType w:val="multilevel"/>
    <w:tmpl w:val="ED7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233178"/>
    <w:multiLevelType w:val="hybridMultilevel"/>
    <w:tmpl w:val="761A2EA6"/>
    <w:lvl w:ilvl="0" w:tplc="F6805840">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83596"/>
    <w:multiLevelType w:val="hybridMultilevel"/>
    <w:tmpl w:val="0AB63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8122E"/>
    <w:multiLevelType w:val="hybridMultilevel"/>
    <w:tmpl w:val="60EC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982DE4"/>
    <w:multiLevelType w:val="multilevel"/>
    <w:tmpl w:val="054A6A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2374F4"/>
    <w:multiLevelType w:val="hybridMultilevel"/>
    <w:tmpl w:val="054A6AF0"/>
    <w:lvl w:ilvl="0" w:tplc="06CE703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43CA1"/>
    <w:multiLevelType w:val="hybridMultilevel"/>
    <w:tmpl w:val="04CEA55C"/>
    <w:lvl w:ilvl="0" w:tplc="E61E9462">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5" w15:restartNumberingAfterBreak="0">
    <w:nsid w:val="65EC6B0E"/>
    <w:multiLevelType w:val="hybridMultilevel"/>
    <w:tmpl w:val="7C265F54"/>
    <w:lvl w:ilvl="0" w:tplc="6CB61BE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161B9"/>
    <w:multiLevelType w:val="hybridMultilevel"/>
    <w:tmpl w:val="72E8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17BC0"/>
    <w:multiLevelType w:val="hybridMultilevel"/>
    <w:tmpl w:val="A3B49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6E10F6"/>
    <w:multiLevelType w:val="hybridMultilevel"/>
    <w:tmpl w:val="43A6A13E"/>
    <w:lvl w:ilvl="0" w:tplc="F2AC45F6">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16cid:durableId="1332947144">
    <w:abstractNumId w:val="15"/>
  </w:num>
  <w:num w:numId="2" w16cid:durableId="1529172373">
    <w:abstractNumId w:val="26"/>
  </w:num>
  <w:num w:numId="3" w16cid:durableId="1596553257">
    <w:abstractNumId w:val="23"/>
  </w:num>
  <w:num w:numId="4" w16cid:durableId="1076052842">
    <w:abstractNumId w:val="28"/>
  </w:num>
  <w:num w:numId="5" w16cid:durableId="1051152635">
    <w:abstractNumId w:val="17"/>
  </w:num>
  <w:num w:numId="6" w16cid:durableId="553201189">
    <w:abstractNumId w:val="10"/>
  </w:num>
  <w:num w:numId="7" w16cid:durableId="485243348">
    <w:abstractNumId w:val="8"/>
  </w:num>
  <w:num w:numId="8" w16cid:durableId="1181313920">
    <w:abstractNumId w:val="7"/>
  </w:num>
  <w:num w:numId="9" w16cid:durableId="966354273">
    <w:abstractNumId w:val="6"/>
  </w:num>
  <w:num w:numId="10" w16cid:durableId="1492452067">
    <w:abstractNumId w:val="5"/>
  </w:num>
  <w:num w:numId="11" w16cid:durableId="300110387">
    <w:abstractNumId w:val="9"/>
  </w:num>
  <w:num w:numId="12" w16cid:durableId="1609502922">
    <w:abstractNumId w:val="4"/>
  </w:num>
  <w:num w:numId="13" w16cid:durableId="684937728">
    <w:abstractNumId w:val="3"/>
  </w:num>
  <w:num w:numId="14" w16cid:durableId="1132405127">
    <w:abstractNumId w:val="2"/>
  </w:num>
  <w:num w:numId="15" w16cid:durableId="366293068">
    <w:abstractNumId w:val="1"/>
  </w:num>
  <w:num w:numId="16" w16cid:durableId="1295871386">
    <w:abstractNumId w:val="0"/>
  </w:num>
  <w:num w:numId="17" w16cid:durableId="1318152074">
    <w:abstractNumId w:val="18"/>
  </w:num>
  <w:num w:numId="18" w16cid:durableId="986931168">
    <w:abstractNumId w:val="14"/>
  </w:num>
  <w:num w:numId="19" w16cid:durableId="293028713">
    <w:abstractNumId w:val="25"/>
  </w:num>
  <w:num w:numId="20" w16cid:durableId="742414649">
    <w:abstractNumId w:val="19"/>
  </w:num>
  <w:num w:numId="21" w16cid:durableId="995915837">
    <w:abstractNumId w:val="22"/>
  </w:num>
  <w:num w:numId="22" w16cid:durableId="399712138">
    <w:abstractNumId w:val="21"/>
  </w:num>
  <w:num w:numId="23" w16cid:durableId="1572346231">
    <w:abstractNumId w:val="13"/>
  </w:num>
  <w:num w:numId="24" w16cid:durableId="64955506">
    <w:abstractNumId w:val="11"/>
  </w:num>
  <w:num w:numId="25" w16cid:durableId="843907529">
    <w:abstractNumId w:val="16"/>
  </w:num>
  <w:num w:numId="26" w16cid:durableId="1088040001">
    <w:abstractNumId w:val="24"/>
  </w:num>
  <w:num w:numId="27" w16cid:durableId="2101028330">
    <w:abstractNumId w:val="20"/>
  </w:num>
  <w:num w:numId="28" w16cid:durableId="170418119">
    <w:abstractNumId w:val="12"/>
  </w:num>
  <w:num w:numId="29" w16cid:durableId="19211390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98"/>
    <w:rsid w:val="00000A04"/>
    <w:rsid w:val="000013A9"/>
    <w:rsid w:val="000015D2"/>
    <w:rsid w:val="0000168E"/>
    <w:rsid w:val="00003E80"/>
    <w:rsid w:val="00006A37"/>
    <w:rsid w:val="00007AB9"/>
    <w:rsid w:val="00010D98"/>
    <w:rsid w:val="000130E6"/>
    <w:rsid w:val="00015AF7"/>
    <w:rsid w:val="00016CF2"/>
    <w:rsid w:val="000171B8"/>
    <w:rsid w:val="0002145E"/>
    <w:rsid w:val="0002208F"/>
    <w:rsid w:val="000230A1"/>
    <w:rsid w:val="00024605"/>
    <w:rsid w:val="000326B7"/>
    <w:rsid w:val="00036073"/>
    <w:rsid w:val="00037D68"/>
    <w:rsid w:val="0004093D"/>
    <w:rsid w:val="00043F21"/>
    <w:rsid w:val="00044CA6"/>
    <w:rsid w:val="00045A20"/>
    <w:rsid w:val="000475AB"/>
    <w:rsid w:val="00051507"/>
    <w:rsid w:val="00052D7A"/>
    <w:rsid w:val="000562FE"/>
    <w:rsid w:val="0006039E"/>
    <w:rsid w:val="0006082C"/>
    <w:rsid w:val="00062B6E"/>
    <w:rsid w:val="0006337E"/>
    <w:rsid w:val="00065F3B"/>
    <w:rsid w:val="00065F62"/>
    <w:rsid w:val="0006649A"/>
    <w:rsid w:val="00067A6A"/>
    <w:rsid w:val="000755A7"/>
    <w:rsid w:val="000810C3"/>
    <w:rsid w:val="000810EE"/>
    <w:rsid w:val="000831AD"/>
    <w:rsid w:val="00086067"/>
    <w:rsid w:val="00087256"/>
    <w:rsid w:val="000907F7"/>
    <w:rsid w:val="00095321"/>
    <w:rsid w:val="000964DA"/>
    <w:rsid w:val="00096934"/>
    <w:rsid w:val="000A034B"/>
    <w:rsid w:val="000A15D8"/>
    <w:rsid w:val="000A172E"/>
    <w:rsid w:val="000A4F7D"/>
    <w:rsid w:val="000A5139"/>
    <w:rsid w:val="000A60F2"/>
    <w:rsid w:val="000A63EA"/>
    <w:rsid w:val="000B1104"/>
    <w:rsid w:val="000B2316"/>
    <w:rsid w:val="000B2AB9"/>
    <w:rsid w:val="000B3764"/>
    <w:rsid w:val="000B44C4"/>
    <w:rsid w:val="000B4F60"/>
    <w:rsid w:val="000B5E93"/>
    <w:rsid w:val="000B70BC"/>
    <w:rsid w:val="000B78BD"/>
    <w:rsid w:val="000C0D30"/>
    <w:rsid w:val="000C1901"/>
    <w:rsid w:val="000C1E49"/>
    <w:rsid w:val="000C562B"/>
    <w:rsid w:val="000C57C3"/>
    <w:rsid w:val="000C6884"/>
    <w:rsid w:val="000D0A37"/>
    <w:rsid w:val="000D10C2"/>
    <w:rsid w:val="000D68A6"/>
    <w:rsid w:val="000E05AD"/>
    <w:rsid w:val="000E1B80"/>
    <w:rsid w:val="000E2EB3"/>
    <w:rsid w:val="000E5062"/>
    <w:rsid w:val="000E584B"/>
    <w:rsid w:val="000F276B"/>
    <w:rsid w:val="000F2EC6"/>
    <w:rsid w:val="000F450F"/>
    <w:rsid w:val="000F4653"/>
    <w:rsid w:val="00100FC1"/>
    <w:rsid w:val="001018D8"/>
    <w:rsid w:val="00104354"/>
    <w:rsid w:val="00106D60"/>
    <w:rsid w:val="00106DB2"/>
    <w:rsid w:val="00106ED3"/>
    <w:rsid w:val="001079DB"/>
    <w:rsid w:val="00110688"/>
    <w:rsid w:val="00110A01"/>
    <w:rsid w:val="00110BE5"/>
    <w:rsid w:val="00114026"/>
    <w:rsid w:val="00114492"/>
    <w:rsid w:val="00120B9E"/>
    <w:rsid w:val="00121228"/>
    <w:rsid w:val="001235E1"/>
    <w:rsid w:val="00124605"/>
    <w:rsid w:val="00124EA6"/>
    <w:rsid w:val="00125662"/>
    <w:rsid w:val="00125BE4"/>
    <w:rsid w:val="00130060"/>
    <w:rsid w:val="00132AEF"/>
    <w:rsid w:val="001339DA"/>
    <w:rsid w:val="001444EF"/>
    <w:rsid w:val="00144A21"/>
    <w:rsid w:val="00147AFB"/>
    <w:rsid w:val="00150BAC"/>
    <w:rsid w:val="00153FE9"/>
    <w:rsid w:val="0015541E"/>
    <w:rsid w:val="00155B95"/>
    <w:rsid w:val="0015770C"/>
    <w:rsid w:val="00161F94"/>
    <w:rsid w:val="00162AB7"/>
    <w:rsid w:val="0016611D"/>
    <w:rsid w:val="00173B6A"/>
    <w:rsid w:val="00174DCB"/>
    <w:rsid w:val="001768BA"/>
    <w:rsid w:val="00184172"/>
    <w:rsid w:val="00184492"/>
    <w:rsid w:val="001850D4"/>
    <w:rsid w:val="0018731B"/>
    <w:rsid w:val="00187408"/>
    <w:rsid w:val="00190441"/>
    <w:rsid w:val="00196012"/>
    <w:rsid w:val="001B115B"/>
    <w:rsid w:val="001B24B0"/>
    <w:rsid w:val="001B25D0"/>
    <w:rsid w:val="001B2D2F"/>
    <w:rsid w:val="001B3B56"/>
    <w:rsid w:val="001B3FB6"/>
    <w:rsid w:val="001C0E7B"/>
    <w:rsid w:val="001C43CA"/>
    <w:rsid w:val="001C4E75"/>
    <w:rsid w:val="001D534F"/>
    <w:rsid w:val="001E0128"/>
    <w:rsid w:val="001E0A8D"/>
    <w:rsid w:val="001E18B3"/>
    <w:rsid w:val="001E1B22"/>
    <w:rsid w:val="001E2146"/>
    <w:rsid w:val="001E276E"/>
    <w:rsid w:val="001E5D33"/>
    <w:rsid w:val="001F10D4"/>
    <w:rsid w:val="001F400F"/>
    <w:rsid w:val="001F5169"/>
    <w:rsid w:val="001F573D"/>
    <w:rsid w:val="001F5F72"/>
    <w:rsid w:val="002023F6"/>
    <w:rsid w:val="00204709"/>
    <w:rsid w:val="00205A3A"/>
    <w:rsid w:val="00205AD1"/>
    <w:rsid w:val="00205F1F"/>
    <w:rsid w:val="00206F29"/>
    <w:rsid w:val="00212B72"/>
    <w:rsid w:val="00213E94"/>
    <w:rsid w:val="00213FEC"/>
    <w:rsid w:val="002178A7"/>
    <w:rsid w:val="0022014A"/>
    <w:rsid w:val="00222877"/>
    <w:rsid w:val="00222DA8"/>
    <w:rsid w:val="002230DB"/>
    <w:rsid w:val="00223E2E"/>
    <w:rsid w:val="002242B9"/>
    <w:rsid w:val="00226C87"/>
    <w:rsid w:val="00227524"/>
    <w:rsid w:val="002337ED"/>
    <w:rsid w:val="002350EC"/>
    <w:rsid w:val="0023639E"/>
    <w:rsid w:val="002421EA"/>
    <w:rsid w:val="00243C4F"/>
    <w:rsid w:val="002456C9"/>
    <w:rsid w:val="0024695C"/>
    <w:rsid w:val="002469A1"/>
    <w:rsid w:val="00250DCD"/>
    <w:rsid w:val="00250E0E"/>
    <w:rsid w:val="002514F0"/>
    <w:rsid w:val="0025158A"/>
    <w:rsid w:val="00252B42"/>
    <w:rsid w:val="00255DEF"/>
    <w:rsid w:val="0025625A"/>
    <w:rsid w:val="002575DD"/>
    <w:rsid w:val="00266CD3"/>
    <w:rsid w:val="00270B34"/>
    <w:rsid w:val="002721E3"/>
    <w:rsid w:val="00273F4A"/>
    <w:rsid w:val="002763E5"/>
    <w:rsid w:val="00276966"/>
    <w:rsid w:val="002775C8"/>
    <w:rsid w:val="00281820"/>
    <w:rsid w:val="002819E1"/>
    <w:rsid w:val="0028624B"/>
    <w:rsid w:val="00292FE4"/>
    <w:rsid w:val="00294798"/>
    <w:rsid w:val="00294F75"/>
    <w:rsid w:val="002961F3"/>
    <w:rsid w:val="002A1A6F"/>
    <w:rsid w:val="002A1AC8"/>
    <w:rsid w:val="002A7840"/>
    <w:rsid w:val="002B1FE4"/>
    <w:rsid w:val="002C50CC"/>
    <w:rsid w:val="002D0B0C"/>
    <w:rsid w:val="002D0B8F"/>
    <w:rsid w:val="002D5BEA"/>
    <w:rsid w:val="002D5DA3"/>
    <w:rsid w:val="002D601B"/>
    <w:rsid w:val="002D6156"/>
    <w:rsid w:val="002D6EC0"/>
    <w:rsid w:val="002E2198"/>
    <w:rsid w:val="002E2DC1"/>
    <w:rsid w:val="002E6C7A"/>
    <w:rsid w:val="002E79B2"/>
    <w:rsid w:val="002F41D7"/>
    <w:rsid w:val="0030037C"/>
    <w:rsid w:val="00304EBD"/>
    <w:rsid w:val="00313B26"/>
    <w:rsid w:val="00315FC1"/>
    <w:rsid w:val="003161C0"/>
    <w:rsid w:val="00317991"/>
    <w:rsid w:val="00321F8F"/>
    <w:rsid w:val="003245BC"/>
    <w:rsid w:val="003271CE"/>
    <w:rsid w:val="00327256"/>
    <w:rsid w:val="003303EE"/>
    <w:rsid w:val="00330629"/>
    <w:rsid w:val="00330E38"/>
    <w:rsid w:val="00331B72"/>
    <w:rsid w:val="00333B00"/>
    <w:rsid w:val="00340D2D"/>
    <w:rsid w:val="003471EA"/>
    <w:rsid w:val="003530FC"/>
    <w:rsid w:val="0035433D"/>
    <w:rsid w:val="00356178"/>
    <w:rsid w:val="00356ED6"/>
    <w:rsid w:val="00357DEC"/>
    <w:rsid w:val="0036379D"/>
    <w:rsid w:val="00365776"/>
    <w:rsid w:val="00370418"/>
    <w:rsid w:val="00370B47"/>
    <w:rsid w:val="00371419"/>
    <w:rsid w:val="00371E83"/>
    <w:rsid w:val="00374F84"/>
    <w:rsid w:val="00377E2F"/>
    <w:rsid w:val="00377FDB"/>
    <w:rsid w:val="003804F8"/>
    <w:rsid w:val="003833DA"/>
    <w:rsid w:val="00384618"/>
    <w:rsid w:val="00384ED4"/>
    <w:rsid w:val="0038555B"/>
    <w:rsid w:val="003868C7"/>
    <w:rsid w:val="003904DA"/>
    <w:rsid w:val="00391284"/>
    <w:rsid w:val="003923CB"/>
    <w:rsid w:val="00392726"/>
    <w:rsid w:val="00393E11"/>
    <w:rsid w:val="00394472"/>
    <w:rsid w:val="00395215"/>
    <w:rsid w:val="00396643"/>
    <w:rsid w:val="003A28D8"/>
    <w:rsid w:val="003A2BDD"/>
    <w:rsid w:val="003A4D75"/>
    <w:rsid w:val="003A535A"/>
    <w:rsid w:val="003A57B2"/>
    <w:rsid w:val="003A6121"/>
    <w:rsid w:val="003B0B56"/>
    <w:rsid w:val="003B1698"/>
    <w:rsid w:val="003B2156"/>
    <w:rsid w:val="003B45B3"/>
    <w:rsid w:val="003B6265"/>
    <w:rsid w:val="003B63DA"/>
    <w:rsid w:val="003C0404"/>
    <w:rsid w:val="003C04EF"/>
    <w:rsid w:val="003D0316"/>
    <w:rsid w:val="003D2D1B"/>
    <w:rsid w:val="003D587C"/>
    <w:rsid w:val="003E33E1"/>
    <w:rsid w:val="003E4DEA"/>
    <w:rsid w:val="003E553E"/>
    <w:rsid w:val="003E659F"/>
    <w:rsid w:val="003E6B84"/>
    <w:rsid w:val="003E7B72"/>
    <w:rsid w:val="003F1A02"/>
    <w:rsid w:val="003F2CA4"/>
    <w:rsid w:val="003F4CBA"/>
    <w:rsid w:val="003F4F63"/>
    <w:rsid w:val="003F5FA5"/>
    <w:rsid w:val="003F6057"/>
    <w:rsid w:val="003F6F9E"/>
    <w:rsid w:val="003F7E27"/>
    <w:rsid w:val="00401674"/>
    <w:rsid w:val="00403AD3"/>
    <w:rsid w:val="00407307"/>
    <w:rsid w:val="00407AA1"/>
    <w:rsid w:val="00410B31"/>
    <w:rsid w:val="00410EC8"/>
    <w:rsid w:val="00411737"/>
    <w:rsid w:val="004125E6"/>
    <w:rsid w:val="0041655D"/>
    <w:rsid w:val="004166D1"/>
    <w:rsid w:val="004211EC"/>
    <w:rsid w:val="00421245"/>
    <w:rsid w:val="00422968"/>
    <w:rsid w:val="004229BB"/>
    <w:rsid w:val="00422F7B"/>
    <w:rsid w:val="0042322C"/>
    <w:rsid w:val="0042380B"/>
    <w:rsid w:val="004243EF"/>
    <w:rsid w:val="00432BCF"/>
    <w:rsid w:val="00435FB9"/>
    <w:rsid w:val="0043626D"/>
    <w:rsid w:val="00440535"/>
    <w:rsid w:val="004408B5"/>
    <w:rsid w:val="00441756"/>
    <w:rsid w:val="00443F84"/>
    <w:rsid w:val="00445A10"/>
    <w:rsid w:val="00453A65"/>
    <w:rsid w:val="00453BF7"/>
    <w:rsid w:val="00454773"/>
    <w:rsid w:val="00454EC9"/>
    <w:rsid w:val="00461096"/>
    <w:rsid w:val="00462478"/>
    <w:rsid w:val="004663B1"/>
    <w:rsid w:val="0047094B"/>
    <w:rsid w:val="00472067"/>
    <w:rsid w:val="00473BE0"/>
    <w:rsid w:val="00476FA2"/>
    <w:rsid w:val="0047774C"/>
    <w:rsid w:val="00477DC3"/>
    <w:rsid w:val="00482714"/>
    <w:rsid w:val="00482C38"/>
    <w:rsid w:val="0048357E"/>
    <w:rsid w:val="00484F2C"/>
    <w:rsid w:val="00485240"/>
    <w:rsid w:val="004859B1"/>
    <w:rsid w:val="00487B08"/>
    <w:rsid w:val="00490917"/>
    <w:rsid w:val="00494892"/>
    <w:rsid w:val="00497B34"/>
    <w:rsid w:val="004A19C3"/>
    <w:rsid w:val="004A4812"/>
    <w:rsid w:val="004A58AE"/>
    <w:rsid w:val="004A6AEF"/>
    <w:rsid w:val="004B0DD0"/>
    <w:rsid w:val="004B138C"/>
    <w:rsid w:val="004B2920"/>
    <w:rsid w:val="004B2A51"/>
    <w:rsid w:val="004B3F7B"/>
    <w:rsid w:val="004B762A"/>
    <w:rsid w:val="004C46A2"/>
    <w:rsid w:val="004C508F"/>
    <w:rsid w:val="004C6099"/>
    <w:rsid w:val="004C6A6E"/>
    <w:rsid w:val="004D1439"/>
    <w:rsid w:val="004D2FDD"/>
    <w:rsid w:val="004D6136"/>
    <w:rsid w:val="004D6A89"/>
    <w:rsid w:val="004E09FC"/>
    <w:rsid w:val="004E3547"/>
    <w:rsid w:val="004E3856"/>
    <w:rsid w:val="004E5C19"/>
    <w:rsid w:val="004E6CCB"/>
    <w:rsid w:val="004E7524"/>
    <w:rsid w:val="004F0861"/>
    <w:rsid w:val="004F384E"/>
    <w:rsid w:val="004F4324"/>
    <w:rsid w:val="004F4672"/>
    <w:rsid w:val="004F4990"/>
    <w:rsid w:val="00500943"/>
    <w:rsid w:val="0050297C"/>
    <w:rsid w:val="00505213"/>
    <w:rsid w:val="005062F3"/>
    <w:rsid w:val="00511EE5"/>
    <w:rsid w:val="00515737"/>
    <w:rsid w:val="00517115"/>
    <w:rsid w:val="00517203"/>
    <w:rsid w:val="00520B77"/>
    <w:rsid w:val="0052154B"/>
    <w:rsid w:val="00521A73"/>
    <w:rsid w:val="00522498"/>
    <w:rsid w:val="00522A3D"/>
    <w:rsid w:val="00522D0F"/>
    <w:rsid w:val="00527BC7"/>
    <w:rsid w:val="00531176"/>
    <w:rsid w:val="00533A25"/>
    <w:rsid w:val="00536357"/>
    <w:rsid w:val="00537F9A"/>
    <w:rsid w:val="00541644"/>
    <w:rsid w:val="00541F5D"/>
    <w:rsid w:val="00543AB4"/>
    <w:rsid w:val="00546581"/>
    <w:rsid w:val="005476FB"/>
    <w:rsid w:val="0055041F"/>
    <w:rsid w:val="00550E22"/>
    <w:rsid w:val="00553B07"/>
    <w:rsid w:val="005544EC"/>
    <w:rsid w:val="00556245"/>
    <w:rsid w:val="00560019"/>
    <w:rsid w:val="00561BAB"/>
    <w:rsid w:val="005632EE"/>
    <w:rsid w:val="00565028"/>
    <w:rsid w:val="00572B3A"/>
    <w:rsid w:val="00575F30"/>
    <w:rsid w:val="0058121E"/>
    <w:rsid w:val="00584103"/>
    <w:rsid w:val="00590BD4"/>
    <w:rsid w:val="00591C73"/>
    <w:rsid w:val="00594D71"/>
    <w:rsid w:val="005968DA"/>
    <w:rsid w:val="005A048F"/>
    <w:rsid w:val="005A1277"/>
    <w:rsid w:val="005A2AA9"/>
    <w:rsid w:val="005A51F1"/>
    <w:rsid w:val="005A726B"/>
    <w:rsid w:val="005A7276"/>
    <w:rsid w:val="005A73E9"/>
    <w:rsid w:val="005B0F3B"/>
    <w:rsid w:val="005B4ABA"/>
    <w:rsid w:val="005B4E23"/>
    <w:rsid w:val="005C3D03"/>
    <w:rsid w:val="005C46E3"/>
    <w:rsid w:val="005C4960"/>
    <w:rsid w:val="005C6EF1"/>
    <w:rsid w:val="005C7EC6"/>
    <w:rsid w:val="005D07CE"/>
    <w:rsid w:val="005D0A14"/>
    <w:rsid w:val="005D1A7D"/>
    <w:rsid w:val="005D1DBD"/>
    <w:rsid w:val="005D3C19"/>
    <w:rsid w:val="005D66B8"/>
    <w:rsid w:val="005D6C35"/>
    <w:rsid w:val="005D773D"/>
    <w:rsid w:val="005E1A36"/>
    <w:rsid w:val="005E2A06"/>
    <w:rsid w:val="005E6B02"/>
    <w:rsid w:val="005E761E"/>
    <w:rsid w:val="005E7967"/>
    <w:rsid w:val="005F0F56"/>
    <w:rsid w:val="005F2DFB"/>
    <w:rsid w:val="005F6C57"/>
    <w:rsid w:val="005F7AF2"/>
    <w:rsid w:val="00601007"/>
    <w:rsid w:val="00606E3A"/>
    <w:rsid w:val="00607693"/>
    <w:rsid w:val="00610E15"/>
    <w:rsid w:val="00613901"/>
    <w:rsid w:val="006151B1"/>
    <w:rsid w:val="00616695"/>
    <w:rsid w:val="00617F5C"/>
    <w:rsid w:val="00620300"/>
    <w:rsid w:val="00623007"/>
    <w:rsid w:val="00623C66"/>
    <w:rsid w:val="00625717"/>
    <w:rsid w:val="00632006"/>
    <w:rsid w:val="00632EF5"/>
    <w:rsid w:val="0063743D"/>
    <w:rsid w:val="0063764C"/>
    <w:rsid w:val="00643343"/>
    <w:rsid w:val="006458FF"/>
    <w:rsid w:val="00646FF6"/>
    <w:rsid w:val="00652CC7"/>
    <w:rsid w:val="00657119"/>
    <w:rsid w:val="00670586"/>
    <w:rsid w:val="00671DAE"/>
    <w:rsid w:val="0068128E"/>
    <w:rsid w:val="006814F2"/>
    <w:rsid w:val="00682947"/>
    <w:rsid w:val="00683889"/>
    <w:rsid w:val="00684571"/>
    <w:rsid w:val="006860FB"/>
    <w:rsid w:val="006870AE"/>
    <w:rsid w:val="00692889"/>
    <w:rsid w:val="00695E36"/>
    <w:rsid w:val="006975E9"/>
    <w:rsid w:val="006A431B"/>
    <w:rsid w:val="006A496C"/>
    <w:rsid w:val="006A5B5D"/>
    <w:rsid w:val="006A629A"/>
    <w:rsid w:val="006B4244"/>
    <w:rsid w:val="006B6960"/>
    <w:rsid w:val="006C1932"/>
    <w:rsid w:val="006C3D51"/>
    <w:rsid w:val="006C5AED"/>
    <w:rsid w:val="006C6271"/>
    <w:rsid w:val="006C7EC0"/>
    <w:rsid w:val="006D0A17"/>
    <w:rsid w:val="006D7116"/>
    <w:rsid w:val="006E1D13"/>
    <w:rsid w:val="006E417F"/>
    <w:rsid w:val="006E5AD1"/>
    <w:rsid w:val="006E7BAD"/>
    <w:rsid w:val="006F051E"/>
    <w:rsid w:val="006F1242"/>
    <w:rsid w:val="006F46A9"/>
    <w:rsid w:val="00702454"/>
    <w:rsid w:val="00703C49"/>
    <w:rsid w:val="0070678A"/>
    <w:rsid w:val="00707530"/>
    <w:rsid w:val="007078CC"/>
    <w:rsid w:val="00707A81"/>
    <w:rsid w:val="00707B06"/>
    <w:rsid w:val="00711E70"/>
    <w:rsid w:val="00711F48"/>
    <w:rsid w:val="007139C2"/>
    <w:rsid w:val="0071494D"/>
    <w:rsid w:val="00716196"/>
    <w:rsid w:val="00716204"/>
    <w:rsid w:val="007165C8"/>
    <w:rsid w:val="0071740E"/>
    <w:rsid w:val="00717FEE"/>
    <w:rsid w:val="00720E67"/>
    <w:rsid w:val="007211E2"/>
    <w:rsid w:val="00722D92"/>
    <w:rsid w:val="00724CA9"/>
    <w:rsid w:val="007268EC"/>
    <w:rsid w:val="00726A57"/>
    <w:rsid w:val="00727BDF"/>
    <w:rsid w:val="0073057C"/>
    <w:rsid w:val="00732471"/>
    <w:rsid w:val="007329A1"/>
    <w:rsid w:val="00733988"/>
    <w:rsid w:val="00734D0D"/>
    <w:rsid w:val="00736AEB"/>
    <w:rsid w:val="00737EC7"/>
    <w:rsid w:val="007408D6"/>
    <w:rsid w:val="00741AE1"/>
    <w:rsid w:val="00741EA6"/>
    <w:rsid w:val="00750B6F"/>
    <w:rsid w:val="0075286B"/>
    <w:rsid w:val="007541AF"/>
    <w:rsid w:val="00755F65"/>
    <w:rsid w:val="00757761"/>
    <w:rsid w:val="00761C91"/>
    <w:rsid w:val="007638EB"/>
    <w:rsid w:val="00766691"/>
    <w:rsid w:val="00767E5D"/>
    <w:rsid w:val="00772EF1"/>
    <w:rsid w:val="00775E6B"/>
    <w:rsid w:val="00780A2B"/>
    <w:rsid w:val="00781344"/>
    <w:rsid w:val="00782271"/>
    <w:rsid w:val="0078439B"/>
    <w:rsid w:val="00790CE9"/>
    <w:rsid w:val="0079184A"/>
    <w:rsid w:val="007933C7"/>
    <w:rsid w:val="00794082"/>
    <w:rsid w:val="0079480A"/>
    <w:rsid w:val="00794C4C"/>
    <w:rsid w:val="00794F5E"/>
    <w:rsid w:val="00794FB5"/>
    <w:rsid w:val="007955A5"/>
    <w:rsid w:val="007A06A1"/>
    <w:rsid w:val="007A0DA0"/>
    <w:rsid w:val="007A3C56"/>
    <w:rsid w:val="007A4270"/>
    <w:rsid w:val="007B05F4"/>
    <w:rsid w:val="007B0C6C"/>
    <w:rsid w:val="007B2D06"/>
    <w:rsid w:val="007B41F2"/>
    <w:rsid w:val="007B5059"/>
    <w:rsid w:val="007B66C4"/>
    <w:rsid w:val="007B75CD"/>
    <w:rsid w:val="007C0ECE"/>
    <w:rsid w:val="007C0FB9"/>
    <w:rsid w:val="007C1259"/>
    <w:rsid w:val="007C1A12"/>
    <w:rsid w:val="007C2788"/>
    <w:rsid w:val="007D1DE0"/>
    <w:rsid w:val="007D46DA"/>
    <w:rsid w:val="007E120E"/>
    <w:rsid w:val="007E1F65"/>
    <w:rsid w:val="007E44D4"/>
    <w:rsid w:val="007F005A"/>
    <w:rsid w:val="007F0D38"/>
    <w:rsid w:val="007F1B00"/>
    <w:rsid w:val="007F5D3E"/>
    <w:rsid w:val="007F65F4"/>
    <w:rsid w:val="007F70C7"/>
    <w:rsid w:val="00801A7F"/>
    <w:rsid w:val="00802C1A"/>
    <w:rsid w:val="00802EA9"/>
    <w:rsid w:val="00802F06"/>
    <w:rsid w:val="00803D4E"/>
    <w:rsid w:val="0080589F"/>
    <w:rsid w:val="00805EAF"/>
    <w:rsid w:val="0080601C"/>
    <w:rsid w:val="0081316B"/>
    <w:rsid w:val="0081495F"/>
    <w:rsid w:val="00814A3C"/>
    <w:rsid w:val="00814C01"/>
    <w:rsid w:val="0081558D"/>
    <w:rsid w:val="0081670F"/>
    <w:rsid w:val="00816D6E"/>
    <w:rsid w:val="008258EC"/>
    <w:rsid w:val="00826ED4"/>
    <w:rsid w:val="0083004A"/>
    <w:rsid w:val="00832096"/>
    <w:rsid w:val="00833E5C"/>
    <w:rsid w:val="008368AF"/>
    <w:rsid w:val="00841BFC"/>
    <w:rsid w:val="0084247B"/>
    <w:rsid w:val="00842774"/>
    <w:rsid w:val="00842EB0"/>
    <w:rsid w:val="00843560"/>
    <w:rsid w:val="0084403F"/>
    <w:rsid w:val="00845E47"/>
    <w:rsid w:val="00850D07"/>
    <w:rsid w:val="00850E44"/>
    <w:rsid w:val="00860228"/>
    <w:rsid w:val="00864541"/>
    <w:rsid w:val="0086580E"/>
    <w:rsid w:val="00867292"/>
    <w:rsid w:val="008673E0"/>
    <w:rsid w:val="00867E4E"/>
    <w:rsid w:val="008705A3"/>
    <w:rsid w:val="0087155E"/>
    <w:rsid w:val="008717EC"/>
    <w:rsid w:val="0087273F"/>
    <w:rsid w:val="00872B99"/>
    <w:rsid w:val="00873832"/>
    <w:rsid w:val="00873917"/>
    <w:rsid w:val="00873B50"/>
    <w:rsid w:val="0087414C"/>
    <w:rsid w:val="0088104C"/>
    <w:rsid w:val="008826DF"/>
    <w:rsid w:val="00885F43"/>
    <w:rsid w:val="0088713F"/>
    <w:rsid w:val="008913B2"/>
    <w:rsid w:val="00891C43"/>
    <w:rsid w:val="00893773"/>
    <w:rsid w:val="00894017"/>
    <w:rsid w:val="008940F4"/>
    <w:rsid w:val="00894DBF"/>
    <w:rsid w:val="00895A27"/>
    <w:rsid w:val="008A09FD"/>
    <w:rsid w:val="008A1485"/>
    <w:rsid w:val="008A22C2"/>
    <w:rsid w:val="008A3325"/>
    <w:rsid w:val="008A43AD"/>
    <w:rsid w:val="008A6FBA"/>
    <w:rsid w:val="008A7C34"/>
    <w:rsid w:val="008B2329"/>
    <w:rsid w:val="008B42EC"/>
    <w:rsid w:val="008B4771"/>
    <w:rsid w:val="008B5F73"/>
    <w:rsid w:val="008B6748"/>
    <w:rsid w:val="008C0057"/>
    <w:rsid w:val="008C0B78"/>
    <w:rsid w:val="008C1D34"/>
    <w:rsid w:val="008D1CB9"/>
    <w:rsid w:val="008D1E5D"/>
    <w:rsid w:val="008D5993"/>
    <w:rsid w:val="008D6A87"/>
    <w:rsid w:val="008E06F0"/>
    <w:rsid w:val="008E37D1"/>
    <w:rsid w:val="008E6434"/>
    <w:rsid w:val="008E6883"/>
    <w:rsid w:val="008E786D"/>
    <w:rsid w:val="008F0E55"/>
    <w:rsid w:val="008F341B"/>
    <w:rsid w:val="008F4BD6"/>
    <w:rsid w:val="008F507A"/>
    <w:rsid w:val="008F7D6C"/>
    <w:rsid w:val="00900648"/>
    <w:rsid w:val="00901E90"/>
    <w:rsid w:val="00905CC7"/>
    <w:rsid w:val="0090621C"/>
    <w:rsid w:val="00907655"/>
    <w:rsid w:val="00914F6D"/>
    <w:rsid w:val="009168D7"/>
    <w:rsid w:val="00920D42"/>
    <w:rsid w:val="0092109A"/>
    <w:rsid w:val="00921CE5"/>
    <w:rsid w:val="0092239F"/>
    <w:rsid w:val="00923B54"/>
    <w:rsid w:val="00923E2A"/>
    <w:rsid w:val="00925436"/>
    <w:rsid w:val="00926948"/>
    <w:rsid w:val="00926A51"/>
    <w:rsid w:val="0093007F"/>
    <w:rsid w:val="00930A50"/>
    <w:rsid w:val="00931634"/>
    <w:rsid w:val="00932921"/>
    <w:rsid w:val="00932D7D"/>
    <w:rsid w:val="00933D82"/>
    <w:rsid w:val="00935A30"/>
    <w:rsid w:val="00937BE6"/>
    <w:rsid w:val="00940E20"/>
    <w:rsid w:val="00943DF9"/>
    <w:rsid w:val="00944606"/>
    <w:rsid w:val="00944877"/>
    <w:rsid w:val="0094499C"/>
    <w:rsid w:val="0094502B"/>
    <w:rsid w:val="00945DAB"/>
    <w:rsid w:val="00946595"/>
    <w:rsid w:val="0095114F"/>
    <w:rsid w:val="00954256"/>
    <w:rsid w:val="009551C5"/>
    <w:rsid w:val="00955797"/>
    <w:rsid w:val="00955B10"/>
    <w:rsid w:val="00960511"/>
    <w:rsid w:val="009672F4"/>
    <w:rsid w:val="009679FF"/>
    <w:rsid w:val="00970C38"/>
    <w:rsid w:val="00972069"/>
    <w:rsid w:val="00974E7E"/>
    <w:rsid w:val="00975BC4"/>
    <w:rsid w:val="009772DB"/>
    <w:rsid w:val="00993B97"/>
    <w:rsid w:val="00993BE8"/>
    <w:rsid w:val="009A006F"/>
    <w:rsid w:val="009A4C1D"/>
    <w:rsid w:val="009B2055"/>
    <w:rsid w:val="009B261A"/>
    <w:rsid w:val="009B2D31"/>
    <w:rsid w:val="009B3370"/>
    <w:rsid w:val="009B53E0"/>
    <w:rsid w:val="009B7C3A"/>
    <w:rsid w:val="009C011A"/>
    <w:rsid w:val="009C342F"/>
    <w:rsid w:val="009C4260"/>
    <w:rsid w:val="009D0EF7"/>
    <w:rsid w:val="009D1B49"/>
    <w:rsid w:val="009D1D50"/>
    <w:rsid w:val="009D661C"/>
    <w:rsid w:val="009E28E5"/>
    <w:rsid w:val="009E31A2"/>
    <w:rsid w:val="009E52C8"/>
    <w:rsid w:val="009E5A3C"/>
    <w:rsid w:val="009E7B90"/>
    <w:rsid w:val="009F06FB"/>
    <w:rsid w:val="009F106C"/>
    <w:rsid w:val="009F4B92"/>
    <w:rsid w:val="009F638D"/>
    <w:rsid w:val="009F670B"/>
    <w:rsid w:val="009F676C"/>
    <w:rsid w:val="009F7C05"/>
    <w:rsid w:val="009F7ECE"/>
    <w:rsid w:val="00A03B25"/>
    <w:rsid w:val="00A05AA7"/>
    <w:rsid w:val="00A05EAB"/>
    <w:rsid w:val="00A13793"/>
    <w:rsid w:val="00A13BA8"/>
    <w:rsid w:val="00A14A81"/>
    <w:rsid w:val="00A161FE"/>
    <w:rsid w:val="00A2467A"/>
    <w:rsid w:val="00A2627F"/>
    <w:rsid w:val="00A30AA9"/>
    <w:rsid w:val="00A31193"/>
    <w:rsid w:val="00A32EDA"/>
    <w:rsid w:val="00A33D16"/>
    <w:rsid w:val="00A34C2F"/>
    <w:rsid w:val="00A36D87"/>
    <w:rsid w:val="00A378ED"/>
    <w:rsid w:val="00A41280"/>
    <w:rsid w:val="00A4374A"/>
    <w:rsid w:val="00A45AB2"/>
    <w:rsid w:val="00A475DF"/>
    <w:rsid w:val="00A47976"/>
    <w:rsid w:val="00A47FDF"/>
    <w:rsid w:val="00A50E66"/>
    <w:rsid w:val="00A54BE9"/>
    <w:rsid w:val="00A54D37"/>
    <w:rsid w:val="00A566A2"/>
    <w:rsid w:val="00A6059E"/>
    <w:rsid w:val="00A65A04"/>
    <w:rsid w:val="00A72628"/>
    <w:rsid w:val="00A73EB3"/>
    <w:rsid w:val="00A75834"/>
    <w:rsid w:val="00A77755"/>
    <w:rsid w:val="00A77ACD"/>
    <w:rsid w:val="00A803BD"/>
    <w:rsid w:val="00A80D4C"/>
    <w:rsid w:val="00A82090"/>
    <w:rsid w:val="00A82962"/>
    <w:rsid w:val="00A82BDA"/>
    <w:rsid w:val="00A876FF"/>
    <w:rsid w:val="00A90404"/>
    <w:rsid w:val="00A90B54"/>
    <w:rsid w:val="00A92FF0"/>
    <w:rsid w:val="00A9328F"/>
    <w:rsid w:val="00AA33B3"/>
    <w:rsid w:val="00AA4D6A"/>
    <w:rsid w:val="00AA52F1"/>
    <w:rsid w:val="00AA6446"/>
    <w:rsid w:val="00AB0234"/>
    <w:rsid w:val="00AB0567"/>
    <w:rsid w:val="00AB1685"/>
    <w:rsid w:val="00AB1D54"/>
    <w:rsid w:val="00AB36D9"/>
    <w:rsid w:val="00AB690B"/>
    <w:rsid w:val="00AB69A7"/>
    <w:rsid w:val="00AB6A9F"/>
    <w:rsid w:val="00AC1E0C"/>
    <w:rsid w:val="00AC3828"/>
    <w:rsid w:val="00AC5304"/>
    <w:rsid w:val="00AC69D2"/>
    <w:rsid w:val="00AC756A"/>
    <w:rsid w:val="00AC79CA"/>
    <w:rsid w:val="00AD0248"/>
    <w:rsid w:val="00AD1F4E"/>
    <w:rsid w:val="00AD3B3A"/>
    <w:rsid w:val="00AD618C"/>
    <w:rsid w:val="00AD624E"/>
    <w:rsid w:val="00AE0784"/>
    <w:rsid w:val="00AE0A30"/>
    <w:rsid w:val="00AE5847"/>
    <w:rsid w:val="00AF13B6"/>
    <w:rsid w:val="00AF2FD3"/>
    <w:rsid w:val="00AF4A9E"/>
    <w:rsid w:val="00AF5619"/>
    <w:rsid w:val="00AF66C4"/>
    <w:rsid w:val="00AF6F9D"/>
    <w:rsid w:val="00AF79D9"/>
    <w:rsid w:val="00AF7FBF"/>
    <w:rsid w:val="00B00F4C"/>
    <w:rsid w:val="00B07114"/>
    <w:rsid w:val="00B104E3"/>
    <w:rsid w:val="00B11C39"/>
    <w:rsid w:val="00B13498"/>
    <w:rsid w:val="00B145C5"/>
    <w:rsid w:val="00B15E89"/>
    <w:rsid w:val="00B160F6"/>
    <w:rsid w:val="00B1702D"/>
    <w:rsid w:val="00B210F7"/>
    <w:rsid w:val="00B223D1"/>
    <w:rsid w:val="00B23956"/>
    <w:rsid w:val="00B23A3B"/>
    <w:rsid w:val="00B2483D"/>
    <w:rsid w:val="00B24A2C"/>
    <w:rsid w:val="00B24B2D"/>
    <w:rsid w:val="00B30934"/>
    <w:rsid w:val="00B32B58"/>
    <w:rsid w:val="00B3453A"/>
    <w:rsid w:val="00B36A09"/>
    <w:rsid w:val="00B36B49"/>
    <w:rsid w:val="00B37805"/>
    <w:rsid w:val="00B41A39"/>
    <w:rsid w:val="00B41D4D"/>
    <w:rsid w:val="00B420D1"/>
    <w:rsid w:val="00B45C6F"/>
    <w:rsid w:val="00B46958"/>
    <w:rsid w:val="00B53A22"/>
    <w:rsid w:val="00B53B37"/>
    <w:rsid w:val="00B547DD"/>
    <w:rsid w:val="00B54B58"/>
    <w:rsid w:val="00B60606"/>
    <w:rsid w:val="00B61DDF"/>
    <w:rsid w:val="00B6411E"/>
    <w:rsid w:val="00B64D8C"/>
    <w:rsid w:val="00B66689"/>
    <w:rsid w:val="00B67461"/>
    <w:rsid w:val="00B67B57"/>
    <w:rsid w:val="00B713DC"/>
    <w:rsid w:val="00B73232"/>
    <w:rsid w:val="00B74B3F"/>
    <w:rsid w:val="00B80182"/>
    <w:rsid w:val="00B80C41"/>
    <w:rsid w:val="00B81898"/>
    <w:rsid w:val="00B82D77"/>
    <w:rsid w:val="00B831F1"/>
    <w:rsid w:val="00B83801"/>
    <w:rsid w:val="00B848E0"/>
    <w:rsid w:val="00B84E39"/>
    <w:rsid w:val="00B851F1"/>
    <w:rsid w:val="00B85D17"/>
    <w:rsid w:val="00B866F4"/>
    <w:rsid w:val="00B900A4"/>
    <w:rsid w:val="00B93264"/>
    <w:rsid w:val="00B953B0"/>
    <w:rsid w:val="00B96A05"/>
    <w:rsid w:val="00B96ED2"/>
    <w:rsid w:val="00B97EA1"/>
    <w:rsid w:val="00BA26FB"/>
    <w:rsid w:val="00BA55A0"/>
    <w:rsid w:val="00BA7085"/>
    <w:rsid w:val="00BB3BB2"/>
    <w:rsid w:val="00BC2795"/>
    <w:rsid w:val="00BC2DEB"/>
    <w:rsid w:val="00BC352C"/>
    <w:rsid w:val="00BC4EDC"/>
    <w:rsid w:val="00BC561A"/>
    <w:rsid w:val="00BD0ACF"/>
    <w:rsid w:val="00BD0BF6"/>
    <w:rsid w:val="00BD187D"/>
    <w:rsid w:val="00BD2912"/>
    <w:rsid w:val="00BD341C"/>
    <w:rsid w:val="00BD3970"/>
    <w:rsid w:val="00BD3E8A"/>
    <w:rsid w:val="00BD3EB6"/>
    <w:rsid w:val="00BD471F"/>
    <w:rsid w:val="00BE0D08"/>
    <w:rsid w:val="00BE36AA"/>
    <w:rsid w:val="00BE37F5"/>
    <w:rsid w:val="00BE395B"/>
    <w:rsid w:val="00BE6376"/>
    <w:rsid w:val="00BF0D53"/>
    <w:rsid w:val="00BF4A8E"/>
    <w:rsid w:val="00BF6FA5"/>
    <w:rsid w:val="00C04E38"/>
    <w:rsid w:val="00C0643A"/>
    <w:rsid w:val="00C078E5"/>
    <w:rsid w:val="00C1171F"/>
    <w:rsid w:val="00C12012"/>
    <w:rsid w:val="00C12528"/>
    <w:rsid w:val="00C14B7D"/>
    <w:rsid w:val="00C169C2"/>
    <w:rsid w:val="00C16ECA"/>
    <w:rsid w:val="00C21826"/>
    <w:rsid w:val="00C24410"/>
    <w:rsid w:val="00C27AF3"/>
    <w:rsid w:val="00C301F8"/>
    <w:rsid w:val="00C35AD9"/>
    <w:rsid w:val="00C36BFE"/>
    <w:rsid w:val="00C379C4"/>
    <w:rsid w:val="00C4427E"/>
    <w:rsid w:val="00C45D03"/>
    <w:rsid w:val="00C55A5E"/>
    <w:rsid w:val="00C617C2"/>
    <w:rsid w:val="00C64E58"/>
    <w:rsid w:val="00C65A77"/>
    <w:rsid w:val="00C74C8D"/>
    <w:rsid w:val="00C7563B"/>
    <w:rsid w:val="00C75B05"/>
    <w:rsid w:val="00C831AC"/>
    <w:rsid w:val="00C85A42"/>
    <w:rsid w:val="00C87602"/>
    <w:rsid w:val="00C9121E"/>
    <w:rsid w:val="00C93D53"/>
    <w:rsid w:val="00C96738"/>
    <w:rsid w:val="00C971FE"/>
    <w:rsid w:val="00CA1E4C"/>
    <w:rsid w:val="00CA2CEB"/>
    <w:rsid w:val="00CA40A7"/>
    <w:rsid w:val="00CA54D3"/>
    <w:rsid w:val="00CA66F8"/>
    <w:rsid w:val="00CB01A5"/>
    <w:rsid w:val="00CB0883"/>
    <w:rsid w:val="00CB0CF3"/>
    <w:rsid w:val="00CB1ED1"/>
    <w:rsid w:val="00CB37CF"/>
    <w:rsid w:val="00CB3FAA"/>
    <w:rsid w:val="00CB4911"/>
    <w:rsid w:val="00CB49CD"/>
    <w:rsid w:val="00CB5144"/>
    <w:rsid w:val="00CC05FB"/>
    <w:rsid w:val="00CC2C2E"/>
    <w:rsid w:val="00CC3A6D"/>
    <w:rsid w:val="00CC4300"/>
    <w:rsid w:val="00CC468B"/>
    <w:rsid w:val="00CD025D"/>
    <w:rsid w:val="00CD5645"/>
    <w:rsid w:val="00CD6919"/>
    <w:rsid w:val="00CE3867"/>
    <w:rsid w:val="00CE5D7C"/>
    <w:rsid w:val="00CE6B99"/>
    <w:rsid w:val="00CF00B3"/>
    <w:rsid w:val="00CF0AD8"/>
    <w:rsid w:val="00CF3C11"/>
    <w:rsid w:val="00D0032E"/>
    <w:rsid w:val="00D01BDF"/>
    <w:rsid w:val="00D03095"/>
    <w:rsid w:val="00D04C8A"/>
    <w:rsid w:val="00D06AAB"/>
    <w:rsid w:val="00D07EED"/>
    <w:rsid w:val="00D111BD"/>
    <w:rsid w:val="00D120B2"/>
    <w:rsid w:val="00D14350"/>
    <w:rsid w:val="00D14C86"/>
    <w:rsid w:val="00D15626"/>
    <w:rsid w:val="00D20BAC"/>
    <w:rsid w:val="00D26627"/>
    <w:rsid w:val="00D266D1"/>
    <w:rsid w:val="00D301BF"/>
    <w:rsid w:val="00D31980"/>
    <w:rsid w:val="00D35B5C"/>
    <w:rsid w:val="00D43E83"/>
    <w:rsid w:val="00D442F0"/>
    <w:rsid w:val="00D444E0"/>
    <w:rsid w:val="00D5009B"/>
    <w:rsid w:val="00D52FA7"/>
    <w:rsid w:val="00D538F7"/>
    <w:rsid w:val="00D5534A"/>
    <w:rsid w:val="00D558EB"/>
    <w:rsid w:val="00D57275"/>
    <w:rsid w:val="00D57D8F"/>
    <w:rsid w:val="00D57E2B"/>
    <w:rsid w:val="00D61F61"/>
    <w:rsid w:val="00D635B4"/>
    <w:rsid w:val="00D64650"/>
    <w:rsid w:val="00D6676D"/>
    <w:rsid w:val="00D67AE3"/>
    <w:rsid w:val="00D70DC3"/>
    <w:rsid w:val="00D71E64"/>
    <w:rsid w:val="00D72FD9"/>
    <w:rsid w:val="00D74CF5"/>
    <w:rsid w:val="00D74E61"/>
    <w:rsid w:val="00D75003"/>
    <w:rsid w:val="00D769FD"/>
    <w:rsid w:val="00D80E51"/>
    <w:rsid w:val="00D82B64"/>
    <w:rsid w:val="00D82ECC"/>
    <w:rsid w:val="00D8382C"/>
    <w:rsid w:val="00D85AFB"/>
    <w:rsid w:val="00D91F10"/>
    <w:rsid w:val="00D95957"/>
    <w:rsid w:val="00D974C5"/>
    <w:rsid w:val="00D9750C"/>
    <w:rsid w:val="00DA542D"/>
    <w:rsid w:val="00DA5E8D"/>
    <w:rsid w:val="00DA6928"/>
    <w:rsid w:val="00DB2824"/>
    <w:rsid w:val="00DB2F2C"/>
    <w:rsid w:val="00DB35F7"/>
    <w:rsid w:val="00DB361C"/>
    <w:rsid w:val="00DB6AF6"/>
    <w:rsid w:val="00DC2B22"/>
    <w:rsid w:val="00DC4EEE"/>
    <w:rsid w:val="00DC6FF4"/>
    <w:rsid w:val="00DC7006"/>
    <w:rsid w:val="00DD3C63"/>
    <w:rsid w:val="00DE6F92"/>
    <w:rsid w:val="00DF4168"/>
    <w:rsid w:val="00DF7153"/>
    <w:rsid w:val="00E00B33"/>
    <w:rsid w:val="00E01AB6"/>
    <w:rsid w:val="00E0381F"/>
    <w:rsid w:val="00E03938"/>
    <w:rsid w:val="00E05F41"/>
    <w:rsid w:val="00E06738"/>
    <w:rsid w:val="00E06A8D"/>
    <w:rsid w:val="00E073FF"/>
    <w:rsid w:val="00E1108D"/>
    <w:rsid w:val="00E11BB2"/>
    <w:rsid w:val="00E177A2"/>
    <w:rsid w:val="00E20DED"/>
    <w:rsid w:val="00E2353A"/>
    <w:rsid w:val="00E242E8"/>
    <w:rsid w:val="00E25C47"/>
    <w:rsid w:val="00E27197"/>
    <w:rsid w:val="00E313AC"/>
    <w:rsid w:val="00E329EB"/>
    <w:rsid w:val="00E34D0C"/>
    <w:rsid w:val="00E35C7B"/>
    <w:rsid w:val="00E365CB"/>
    <w:rsid w:val="00E3758C"/>
    <w:rsid w:val="00E401CA"/>
    <w:rsid w:val="00E40996"/>
    <w:rsid w:val="00E46859"/>
    <w:rsid w:val="00E46D2C"/>
    <w:rsid w:val="00E51091"/>
    <w:rsid w:val="00E53CF0"/>
    <w:rsid w:val="00E56486"/>
    <w:rsid w:val="00E62610"/>
    <w:rsid w:val="00E64425"/>
    <w:rsid w:val="00E807CD"/>
    <w:rsid w:val="00E823B6"/>
    <w:rsid w:val="00E84C68"/>
    <w:rsid w:val="00E85889"/>
    <w:rsid w:val="00E91FCB"/>
    <w:rsid w:val="00E926B4"/>
    <w:rsid w:val="00E934EF"/>
    <w:rsid w:val="00E9524C"/>
    <w:rsid w:val="00EA0EF0"/>
    <w:rsid w:val="00EA3069"/>
    <w:rsid w:val="00EA5571"/>
    <w:rsid w:val="00EA75E7"/>
    <w:rsid w:val="00EB1AB3"/>
    <w:rsid w:val="00EB6F85"/>
    <w:rsid w:val="00EC12F4"/>
    <w:rsid w:val="00EC1B35"/>
    <w:rsid w:val="00EC21EB"/>
    <w:rsid w:val="00EC23FB"/>
    <w:rsid w:val="00EC4831"/>
    <w:rsid w:val="00ED0188"/>
    <w:rsid w:val="00ED01B3"/>
    <w:rsid w:val="00ED1D7C"/>
    <w:rsid w:val="00ED32C5"/>
    <w:rsid w:val="00ED5DC6"/>
    <w:rsid w:val="00ED5E6A"/>
    <w:rsid w:val="00ED7008"/>
    <w:rsid w:val="00EE0D74"/>
    <w:rsid w:val="00EE15CF"/>
    <w:rsid w:val="00EE1D6C"/>
    <w:rsid w:val="00EE20F4"/>
    <w:rsid w:val="00EE57EF"/>
    <w:rsid w:val="00EE5846"/>
    <w:rsid w:val="00EE6EDD"/>
    <w:rsid w:val="00EE7CBA"/>
    <w:rsid w:val="00EF010E"/>
    <w:rsid w:val="00EF20EC"/>
    <w:rsid w:val="00EF2EA7"/>
    <w:rsid w:val="00EF3098"/>
    <w:rsid w:val="00F02B4D"/>
    <w:rsid w:val="00F03586"/>
    <w:rsid w:val="00F04237"/>
    <w:rsid w:val="00F04C4A"/>
    <w:rsid w:val="00F07439"/>
    <w:rsid w:val="00F07762"/>
    <w:rsid w:val="00F1082F"/>
    <w:rsid w:val="00F10A8F"/>
    <w:rsid w:val="00F12C20"/>
    <w:rsid w:val="00F150B8"/>
    <w:rsid w:val="00F16979"/>
    <w:rsid w:val="00F16B7E"/>
    <w:rsid w:val="00F22466"/>
    <w:rsid w:val="00F23476"/>
    <w:rsid w:val="00F24D31"/>
    <w:rsid w:val="00F27CAD"/>
    <w:rsid w:val="00F27CBF"/>
    <w:rsid w:val="00F32155"/>
    <w:rsid w:val="00F33331"/>
    <w:rsid w:val="00F33843"/>
    <w:rsid w:val="00F35259"/>
    <w:rsid w:val="00F3595F"/>
    <w:rsid w:val="00F3675C"/>
    <w:rsid w:val="00F401F7"/>
    <w:rsid w:val="00F41094"/>
    <w:rsid w:val="00F4315F"/>
    <w:rsid w:val="00F445A5"/>
    <w:rsid w:val="00F44D3E"/>
    <w:rsid w:val="00F467F7"/>
    <w:rsid w:val="00F56ADD"/>
    <w:rsid w:val="00F57D7A"/>
    <w:rsid w:val="00F60C1F"/>
    <w:rsid w:val="00F629FB"/>
    <w:rsid w:val="00F633F9"/>
    <w:rsid w:val="00F66AC5"/>
    <w:rsid w:val="00F723C7"/>
    <w:rsid w:val="00F73337"/>
    <w:rsid w:val="00F73605"/>
    <w:rsid w:val="00F7505B"/>
    <w:rsid w:val="00F8081C"/>
    <w:rsid w:val="00F8248C"/>
    <w:rsid w:val="00F8251D"/>
    <w:rsid w:val="00F82D09"/>
    <w:rsid w:val="00F85C2F"/>
    <w:rsid w:val="00F86079"/>
    <w:rsid w:val="00F87E04"/>
    <w:rsid w:val="00F9029B"/>
    <w:rsid w:val="00F91C26"/>
    <w:rsid w:val="00F934BE"/>
    <w:rsid w:val="00F93A01"/>
    <w:rsid w:val="00F968C5"/>
    <w:rsid w:val="00F976F0"/>
    <w:rsid w:val="00FA1112"/>
    <w:rsid w:val="00FA12C3"/>
    <w:rsid w:val="00FA350C"/>
    <w:rsid w:val="00FA3A7D"/>
    <w:rsid w:val="00FA5152"/>
    <w:rsid w:val="00FA6E26"/>
    <w:rsid w:val="00FB21FA"/>
    <w:rsid w:val="00FB2697"/>
    <w:rsid w:val="00FB44B8"/>
    <w:rsid w:val="00FB5B55"/>
    <w:rsid w:val="00FB77AA"/>
    <w:rsid w:val="00FC0DC2"/>
    <w:rsid w:val="00FC27EB"/>
    <w:rsid w:val="00FC738D"/>
    <w:rsid w:val="00FD4089"/>
    <w:rsid w:val="00FD54D9"/>
    <w:rsid w:val="00FD58CE"/>
    <w:rsid w:val="00FD7170"/>
    <w:rsid w:val="00FE0295"/>
    <w:rsid w:val="00FE5000"/>
    <w:rsid w:val="00FE5D8E"/>
    <w:rsid w:val="00FF3FA7"/>
    <w:rsid w:val="00FF5648"/>
    <w:rsid w:val="00FF5DD1"/>
    <w:rsid w:val="00FF650F"/>
    <w:rsid w:val="00FF755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751C38"/>
  <w15:docId w15:val="{BDAB220D-8FFC-9E4C-BDAD-B3FCA3E7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237"/>
    <w:pPr>
      <w:spacing w:after="240" w:line="288" w:lineRule="auto"/>
    </w:pPr>
    <w:rPr>
      <w:rFonts w:ascii="Garamond" w:hAnsi="Garamond"/>
    </w:rPr>
  </w:style>
  <w:style w:type="paragraph" w:styleId="Heading1">
    <w:name w:val="heading 1"/>
    <w:basedOn w:val="Normal"/>
    <w:next w:val="Normal"/>
    <w:link w:val="Heading1Char"/>
    <w:autoRedefine/>
    <w:uiPriority w:val="9"/>
    <w:qFormat/>
    <w:rsid w:val="00522498"/>
    <w:pPr>
      <w:keepNext/>
      <w:keepLines/>
      <w:spacing w:before="240" w:after="120" w:line="240" w:lineRule="auto"/>
      <w:outlineLvl w:val="0"/>
    </w:pPr>
    <w:rPr>
      <w:rFonts w:ascii="Calibri" w:eastAsiaTheme="majorEastAsia" w:hAnsi="Calibri" w:cstheme="minorHAnsi"/>
      <w:b/>
      <w:sz w:val="24"/>
      <w:szCs w:val="24"/>
    </w:rPr>
  </w:style>
  <w:style w:type="paragraph" w:styleId="Heading2">
    <w:name w:val="heading 2"/>
    <w:basedOn w:val="Normal"/>
    <w:next w:val="Normal"/>
    <w:link w:val="Heading2Char"/>
    <w:uiPriority w:val="9"/>
    <w:unhideWhenUsed/>
    <w:qFormat/>
    <w:rsid w:val="00522498"/>
    <w:pPr>
      <w:keepNext/>
      <w:keepLines/>
      <w:spacing w:before="200" w:after="0"/>
      <w:outlineLvl w:val="1"/>
    </w:pPr>
    <w:rPr>
      <w:rFonts w:ascii="Calibri" w:eastAsiaTheme="majorEastAsia" w:hAnsi="Calibri" w:cstheme="minorHAnsi"/>
      <w:b/>
      <w:bCs/>
      <w:i/>
      <w:sz w:val="23"/>
      <w:szCs w:val="24"/>
    </w:rPr>
  </w:style>
  <w:style w:type="paragraph" w:styleId="Heading3">
    <w:name w:val="heading 3"/>
    <w:basedOn w:val="Normal"/>
    <w:next w:val="Normal"/>
    <w:link w:val="Heading3Char"/>
    <w:uiPriority w:val="9"/>
    <w:unhideWhenUsed/>
    <w:qFormat/>
    <w:rsid w:val="00F8248C"/>
    <w:pPr>
      <w:outlineLvl w:val="2"/>
    </w:pPr>
    <w:rPr>
      <w:rFonts w:ascii="Calibri" w:hAnsi="Calibri"/>
      <w:b/>
      <w:sz w:val="21"/>
    </w:rPr>
  </w:style>
  <w:style w:type="paragraph" w:styleId="Heading4">
    <w:name w:val="heading 4"/>
    <w:basedOn w:val="Normal"/>
    <w:next w:val="Normal"/>
    <w:link w:val="Heading4Char"/>
    <w:uiPriority w:val="9"/>
    <w:semiHidden/>
    <w:unhideWhenUsed/>
    <w:qFormat/>
    <w:rsid w:val="00037D68"/>
    <w:pPr>
      <w:keepNext/>
      <w:keepLines/>
      <w:spacing w:before="200" w:after="0"/>
      <w:outlineLvl w:val="3"/>
    </w:pPr>
    <w:rPr>
      <w:rFonts w:ascii="Arial Black" w:eastAsiaTheme="majorEastAsia" w:hAnsi="Arial Black" w:cstheme="majorBidi"/>
      <w:bCs/>
      <w:iCs/>
      <w:color w:val="6699CC" w:themeColor="accent1"/>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00"/>
    <w:rPr>
      <w:rFonts w:ascii="Tahoma" w:hAnsi="Tahoma" w:cs="Tahoma"/>
      <w:sz w:val="16"/>
      <w:szCs w:val="16"/>
    </w:rPr>
  </w:style>
  <w:style w:type="paragraph" w:styleId="Header">
    <w:name w:val="header"/>
    <w:basedOn w:val="Normal"/>
    <w:link w:val="HeaderChar"/>
    <w:uiPriority w:val="99"/>
    <w:unhideWhenUsed/>
    <w:rsid w:val="00BE3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7F5"/>
  </w:style>
  <w:style w:type="paragraph" w:styleId="Footer">
    <w:name w:val="footer"/>
    <w:basedOn w:val="Normal"/>
    <w:link w:val="FooterChar"/>
    <w:uiPriority w:val="99"/>
    <w:unhideWhenUsed/>
    <w:rsid w:val="0073057C"/>
    <w:pPr>
      <w:tabs>
        <w:tab w:val="center" w:pos="4680"/>
        <w:tab w:val="right" w:pos="9360"/>
      </w:tabs>
      <w:spacing w:after="0" w:line="240" w:lineRule="auto"/>
    </w:pPr>
    <w:rPr>
      <w:rFonts w:ascii="Calibri" w:hAnsi="Calibri"/>
      <w:sz w:val="16"/>
    </w:rPr>
  </w:style>
  <w:style w:type="character" w:customStyle="1" w:styleId="FooterChar">
    <w:name w:val="Footer Char"/>
    <w:basedOn w:val="DefaultParagraphFont"/>
    <w:link w:val="Footer"/>
    <w:uiPriority w:val="99"/>
    <w:rsid w:val="0073057C"/>
    <w:rPr>
      <w:rFonts w:ascii="Calibri" w:hAnsi="Calibri"/>
      <w:sz w:val="16"/>
    </w:rPr>
  </w:style>
  <w:style w:type="paragraph" w:styleId="Title">
    <w:name w:val="Title"/>
    <w:basedOn w:val="Normal"/>
    <w:next w:val="Normal"/>
    <w:link w:val="TitleChar"/>
    <w:uiPriority w:val="10"/>
    <w:qFormat/>
    <w:rsid w:val="00522498"/>
    <w:pPr>
      <w:spacing w:after="480" w:line="240" w:lineRule="auto"/>
      <w:jc w:val="center"/>
    </w:pPr>
    <w:rPr>
      <w:rFonts w:ascii="Calibri" w:eastAsiaTheme="majorEastAsia" w:hAnsi="Calibri" w:cstheme="minorHAnsi"/>
      <w:b/>
      <w:bCs/>
      <w:caps/>
      <w:color w:val="00264C" w:themeColor="text2" w:themeShade="BF"/>
      <w:spacing w:val="5"/>
      <w:kern w:val="28"/>
      <w:sz w:val="26"/>
      <w:szCs w:val="28"/>
    </w:rPr>
  </w:style>
  <w:style w:type="character" w:customStyle="1" w:styleId="TitleChar">
    <w:name w:val="Title Char"/>
    <w:basedOn w:val="DefaultParagraphFont"/>
    <w:link w:val="Title"/>
    <w:uiPriority w:val="10"/>
    <w:rsid w:val="00522498"/>
    <w:rPr>
      <w:rFonts w:ascii="Calibri" w:eastAsiaTheme="majorEastAsia" w:hAnsi="Calibri" w:cstheme="minorHAnsi"/>
      <w:b/>
      <w:bCs/>
      <w:caps/>
      <w:color w:val="00264C" w:themeColor="text2" w:themeShade="BF"/>
      <w:spacing w:val="5"/>
      <w:kern w:val="28"/>
      <w:sz w:val="26"/>
      <w:szCs w:val="28"/>
    </w:rPr>
  </w:style>
  <w:style w:type="character" w:customStyle="1" w:styleId="Heading1Char">
    <w:name w:val="Heading 1 Char"/>
    <w:basedOn w:val="DefaultParagraphFont"/>
    <w:link w:val="Heading1"/>
    <w:uiPriority w:val="9"/>
    <w:rsid w:val="00522498"/>
    <w:rPr>
      <w:rFonts w:ascii="Calibri" w:eastAsiaTheme="majorEastAsia" w:hAnsi="Calibri" w:cstheme="minorHAnsi"/>
      <w:b/>
      <w:sz w:val="24"/>
      <w:szCs w:val="24"/>
    </w:rPr>
  </w:style>
  <w:style w:type="character" w:customStyle="1" w:styleId="Heading2Char">
    <w:name w:val="Heading 2 Char"/>
    <w:basedOn w:val="DefaultParagraphFont"/>
    <w:link w:val="Heading2"/>
    <w:uiPriority w:val="9"/>
    <w:rsid w:val="00522498"/>
    <w:rPr>
      <w:rFonts w:ascii="Calibri" w:eastAsiaTheme="majorEastAsia" w:hAnsi="Calibri" w:cstheme="minorHAnsi"/>
      <w:b/>
      <w:bCs/>
      <w:i/>
      <w:sz w:val="23"/>
      <w:szCs w:val="24"/>
    </w:rPr>
  </w:style>
  <w:style w:type="character" w:customStyle="1" w:styleId="Heading3Char">
    <w:name w:val="Heading 3 Char"/>
    <w:basedOn w:val="DefaultParagraphFont"/>
    <w:link w:val="Heading3"/>
    <w:uiPriority w:val="9"/>
    <w:rsid w:val="00F8248C"/>
    <w:rPr>
      <w:rFonts w:ascii="Calibri" w:hAnsi="Calibri"/>
      <w:b/>
      <w:noProof/>
      <w:sz w:val="21"/>
    </w:rPr>
  </w:style>
  <w:style w:type="paragraph" w:customStyle="1" w:styleId="Body1P">
    <w:name w:val="Body 1P"/>
    <w:basedOn w:val="Normal"/>
    <w:rsid w:val="00DC7006"/>
  </w:style>
  <w:style w:type="paragraph" w:customStyle="1" w:styleId="Body">
    <w:name w:val="Body"/>
    <w:basedOn w:val="Body1P"/>
    <w:rsid w:val="00124EA6"/>
    <w:pPr>
      <w:ind w:firstLine="720"/>
    </w:pPr>
  </w:style>
  <w:style w:type="paragraph" w:styleId="Subtitle">
    <w:name w:val="Subtitle"/>
    <w:basedOn w:val="Normal"/>
    <w:next w:val="Normal"/>
    <w:link w:val="SubtitleChar"/>
    <w:uiPriority w:val="11"/>
    <w:qFormat/>
    <w:rsid w:val="002337ED"/>
    <w:pPr>
      <w:spacing w:line="240" w:lineRule="auto"/>
      <w:jc w:val="center"/>
    </w:pPr>
    <w:rPr>
      <w:rFonts w:ascii="Calibri" w:hAnsi="Calibri"/>
      <w:i/>
      <w:sz w:val="24"/>
      <w:szCs w:val="24"/>
    </w:rPr>
  </w:style>
  <w:style w:type="character" w:customStyle="1" w:styleId="SubtitleChar">
    <w:name w:val="Subtitle Char"/>
    <w:basedOn w:val="DefaultParagraphFont"/>
    <w:link w:val="Subtitle"/>
    <w:uiPriority w:val="11"/>
    <w:rsid w:val="002337ED"/>
    <w:rPr>
      <w:rFonts w:ascii="Calibri" w:hAnsi="Calibri"/>
      <w:i/>
      <w:noProof/>
      <w:sz w:val="24"/>
      <w:szCs w:val="24"/>
    </w:rPr>
  </w:style>
  <w:style w:type="paragraph" w:customStyle="1" w:styleId="NoParagraphStyle">
    <w:name w:val="[No Paragraph Style]"/>
    <w:rsid w:val="00F9029B"/>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FCIFigureBoxTableHeader">
    <w:name w:val="FCI_Figure/Box/Table Header"/>
    <w:basedOn w:val="NoParagraphStyle"/>
    <w:uiPriority w:val="99"/>
    <w:rsid w:val="00517203"/>
    <w:pPr>
      <w:spacing w:before="240" w:after="240" w:line="300" w:lineRule="atLeast"/>
    </w:pPr>
    <w:rPr>
      <w:rFonts w:ascii="Arial" w:hAnsi="Arial" w:cs="Optima-Bold"/>
      <w:b/>
      <w:bCs/>
    </w:rPr>
  </w:style>
  <w:style w:type="paragraph" w:customStyle="1" w:styleId="BoxHeader">
    <w:name w:val="Box Header"/>
    <w:basedOn w:val="Heading3"/>
    <w:rsid w:val="00CF3C11"/>
    <w:pPr>
      <w:ind w:left="144"/>
    </w:pPr>
    <w:rPr>
      <w:b w:val="0"/>
      <w:i/>
    </w:rPr>
  </w:style>
  <w:style w:type="paragraph" w:customStyle="1" w:styleId="BoxBody">
    <w:name w:val="Box Body"/>
    <w:basedOn w:val="Normal"/>
    <w:qFormat/>
    <w:rsid w:val="00891C43"/>
    <w:pPr>
      <w:jc w:val="both"/>
    </w:pPr>
    <w:rPr>
      <w:rFonts w:ascii="Calibri" w:hAnsi="Calibri"/>
      <w:sz w:val="19"/>
    </w:rPr>
  </w:style>
  <w:style w:type="table" w:styleId="TableGrid">
    <w:name w:val="Table Grid"/>
    <w:aliases w:val="C2ES 2012 Table"/>
    <w:basedOn w:val="TableNormal"/>
    <w:uiPriority w:val="59"/>
    <w:rsid w:val="0058121E"/>
    <w:pPr>
      <w:spacing w:before="80" w:after="80" w:line="250" w:lineRule="atLeast"/>
    </w:pPr>
    <w:rPr>
      <w:rFonts w:ascii="Calibri" w:eastAsiaTheme="minorEastAsia" w:hAnsi="Calibri"/>
      <w:sz w:val="19"/>
      <w:szCs w:val="19"/>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line="180" w:lineRule="atLeast"/>
        <w:ind w:leftChars="0" w:left="0" w:rightChars="0" w:right="0" w:firstLineChars="0" w:firstLine="0"/>
        <w:contextualSpacing w:val="0"/>
        <w:outlineLvl w:val="9"/>
      </w:pPr>
      <w:rPr>
        <w:rFonts w:ascii="Calibri" w:hAnsi="Calibri"/>
        <w:b/>
        <w:i w:val="0"/>
        <w:caps/>
        <w:smallCaps w:val="0"/>
        <w:sz w:val="19"/>
      </w:rPr>
      <w:tblPr/>
      <w:tcPr>
        <w:shd w:val="clear" w:color="auto" w:fill="E8E5D8"/>
        <w:vAlign w:val="bottom"/>
      </w:tcPr>
    </w:tblStylePr>
    <w:tblStylePr w:type="lastRow">
      <w:rPr>
        <w:rFonts w:ascii="Calibri" w:hAnsi="Calibri"/>
        <w:i/>
        <w:sz w:val="19"/>
      </w:rPr>
    </w:tblStylePr>
    <w:tblStylePr w:type="firstCol">
      <w:rPr>
        <w:rFonts w:ascii="Calibri" w:hAnsi="Calibri"/>
        <w:i/>
        <w:sz w:val="19"/>
      </w:rPr>
    </w:tblStylePr>
    <w:tblStylePr w:type="lastCol">
      <w:rPr>
        <w:rFonts w:ascii="Calibri" w:hAnsi="Calibri"/>
        <w:sz w:val="19"/>
      </w:rPr>
    </w:tblStylePr>
    <w:tblStylePr w:type="band1Vert">
      <w:rPr>
        <w:rFonts w:ascii="Calibri" w:hAnsi="Calibri"/>
        <w:sz w:val="19"/>
      </w:rPr>
    </w:tblStylePr>
    <w:tblStylePr w:type="band2Vert">
      <w:rPr>
        <w:rFonts w:ascii="Calibri" w:hAnsi="Calibri"/>
        <w:sz w:val="19"/>
      </w:rPr>
    </w:tblStylePr>
    <w:tblStylePr w:type="band1Horz">
      <w:rPr>
        <w:rFonts w:ascii="Calibri" w:hAnsi="Calibri"/>
        <w:sz w:val="19"/>
      </w:rPr>
    </w:tblStylePr>
    <w:tblStylePr w:type="band2Horz">
      <w:rPr>
        <w:rFonts w:ascii="Calibri" w:hAnsi="Calibri"/>
        <w:sz w:val="19"/>
      </w:rPr>
    </w:tblStylePr>
    <w:tblStylePr w:type="neCell">
      <w:rPr>
        <w:rFonts w:ascii="Calibri" w:hAnsi="Calibri"/>
        <w:sz w:val="19"/>
      </w:rPr>
    </w:tblStylePr>
    <w:tblStylePr w:type="nwCell">
      <w:rPr>
        <w:rFonts w:ascii="Calibri" w:hAnsi="Calibri"/>
        <w:sz w:val="19"/>
      </w:rPr>
    </w:tblStylePr>
    <w:tblStylePr w:type="seCell">
      <w:rPr>
        <w:rFonts w:ascii="Calibri" w:hAnsi="Calibri"/>
        <w:sz w:val="19"/>
      </w:rPr>
    </w:tblStylePr>
    <w:tblStylePr w:type="swCell">
      <w:rPr>
        <w:rFonts w:ascii="Calibri" w:hAnsi="Calibri"/>
        <w:sz w:val="19"/>
      </w:rPr>
    </w:tblStylePr>
  </w:style>
  <w:style w:type="character" w:styleId="SubtleEmphasis">
    <w:name w:val="Subtle Emphasis"/>
    <w:basedOn w:val="DefaultParagraphFont"/>
    <w:uiPriority w:val="19"/>
    <w:semiHidden/>
    <w:rsid w:val="00517203"/>
    <w:rPr>
      <w:i/>
      <w:iCs/>
      <w:color w:val="808080" w:themeColor="text1" w:themeTint="7F"/>
    </w:rPr>
  </w:style>
  <w:style w:type="paragraph" w:styleId="EndnoteText">
    <w:name w:val="endnote text"/>
    <w:basedOn w:val="Normal"/>
    <w:link w:val="EndnoteTextChar"/>
    <w:uiPriority w:val="99"/>
    <w:unhideWhenUsed/>
    <w:qFormat/>
    <w:rsid w:val="0006337E"/>
    <w:pPr>
      <w:spacing w:before="80" w:after="40" w:line="280" w:lineRule="atLeast"/>
      <w:ind w:firstLine="475"/>
    </w:pPr>
    <w:rPr>
      <w:sz w:val="20"/>
      <w:szCs w:val="20"/>
    </w:rPr>
  </w:style>
  <w:style w:type="character" w:customStyle="1" w:styleId="EndnoteTextChar">
    <w:name w:val="Endnote Text Char"/>
    <w:basedOn w:val="DefaultParagraphFont"/>
    <w:link w:val="EndnoteText"/>
    <w:uiPriority w:val="99"/>
    <w:rsid w:val="0006337E"/>
    <w:rPr>
      <w:rFonts w:ascii="Garamond" w:hAnsi="Garamond"/>
      <w:noProof/>
      <w:sz w:val="20"/>
      <w:szCs w:val="20"/>
    </w:rPr>
  </w:style>
  <w:style w:type="character" w:styleId="EndnoteReference">
    <w:name w:val="endnote reference"/>
    <w:basedOn w:val="DefaultParagraphFont"/>
    <w:uiPriority w:val="99"/>
    <w:unhideWhenUsed/>
    <w:rsid w:val="00517203"/>
    <w:rPr>
      <w:vertAlign w:val="superscript"/>
    </w:rPr>
  </w:style>
  <w:style w:type="paragraph" w:customStyle="1" w:styleId="Endnotes">
    <w:name w:val="Endnotes"/>
    <w:basedOn w:val="Body1P"/>
    <w:rsid w:val="00517203"/>
    <w:pPr>
      <w:ind w:firstLine="720"/>
    </w:pPr>
  </w:style>
  <w:style w:type="paragraph" w:styleId="NoSpacing">
    <w:name w:val="No Spacing"/>
    <w:uiPriority w:val="1"/>
    <w:rsid w:val="00B82D77"/>
    <w:pPr>
      <w:spacing w:after="0" w:line="240" w:lineRule="auto"/>
      <w:contextualSpacing/>
    </w:pPr>
    <w:rPr>
      <w:rFonts w:ascii="Calibri" w:hAnsi="Calibri"/>
      <w:sz w:val="24"/>
    </w:rPr>
  </w:style>
  <w:style w:type="paragraph" w:customStyle="1" w:styleId="GraphicCaptions">
    <w:name w:val="Graphic Captions"/>
    <w:basedOn w:val="NoParagraphStyle"/>
    <w:uiPriority w:val="99"/>
    <w:rsid w:val="00B82D77"/>
    <w:pPr>
      <w:spacing w:before="80"/>
    </w:pPr>
    <w:rPr>
      <w:rFonts w:ascii="Book Antiqua" w:hAnsi="Book Antiqua" w:cs="Optima-Regular"/>
      <w:noProof/>
      <w:spacing w:val="-2"/>
      <w:sz w:val="17"/>
      <w:szCs w:val="17"/>
    </w:rPr>
  </w:style>
  <w:style w:type="paragraph" w:customStyle="1" w:styleId="GraphicHeader">
    <w:name w:val="Graphic Header"/>
    <w:basedOn w:val="NoParagraphStyle"/>
    <w:uiPriority w:val="99"/>
    <w:qFormat/>
    <w:rsid w:val="0058121E"/>
    <w:pPr>
      <w:spacing w:before="240" w:after="240"/>
    </w:pPr>
    <w:rPr>
      <w:rFonts w:ascii="Calibri" w:hAnsi="Calibri" w:cs="Optima-Bold"/>
      <w:b/>
      <w:bCs/>
    </w:rPr>
  </w:style>
  <w:style w:type="paragraph" w:customStyle="1" w:styleId="GraphicSource">
    <w:name w:val="Graphic Source"/>
    <w:basedOn w:val="NoParagraphStyle"/>
    <w:uiPriority w:val="99"/>
    <w:qFormat/>
    <w:rsid w:val="007F1B00"/>
    <w:pPr>
      <w:spacing w:before="120"/>
    </w:pPr>
    <w:rPr>
      <w:rFonts w:ascii="Calibri" w:hAnsi="Calibri" w:cs="Optima-Italic"/>
      <w:i/>
      <w:iCs/>
      <w:sz w:val="14"/>
      <w:szCs w:val="14"/>
    </w:rPr>
  </w:style>
  <w:style w:type="paragraph" w:customStyle="1" w:styleId="FCIcharttextbold">
    <w:name w:val="FCI_chart text bold"/>
    <w:basedOn w:val="NoParagraphStyle"/>
    <w:uiPriority w:val="99"/>
    <w:rsid w:val="00517203"/>
    <w:pPr>
      <w:spacing w:before="80"/>
    </w:pPr>
    <w:rPr>
      <w:rFonts w:ascii="Optima LT Std" w:hAnsi="Optima LT Std" w:cs="Optima-Bold"/>
      <w:b/>
      <w:bCs/>
      <w:sz w:val="16"/>
      <w:szCs w:val="16"/>
    </w:rPr>
  </w:style>
  <w:style w:type="paragraph" w:customStyle="1" w:styleId="FCIcharttable7ptRegular">
    <w:name w:val="FCI_chart/table 7 pt Regular"/>
    <w:basedOn w:val="NoParagraphStyle"/>
    <w:uiPriority w:val="99"/>
    <w:rsid w:val="00517203"/>
    <w:pPr>
      <w:spacing w:before="60"/>
    </w:pPr>
    <w:rPr>
      <w:rFonts w:ascii="Optima LT Std" w:hAnsi="Optima LT Std" w:cs="Optima-Regular"/>
      <w:sz w:val="14"/>
      <w:szCs w:val="14"/>
    </w:rPr>
  </w:style>
  <w:style w:type="character" w:customStyle="1" w:styleId="Heading4Char">
    <w:name w:val="Heading 4 Char"/>
    <w:basedOn w:val="DefaultParagraphFont"/>
    <w:link w:val="Heading4"/>
    <w:uiPriority w:val="9"/>
    <w:semiHidden/>
    <w:rsid w:val="00037D68"/>
    <w:rPr>
      <w:rFonts w:ascii="Arial Black" w:eastAsiaTheme="majorEastAsia" w:hAnsi="Arial Black" w:cstheme="majorBidi"/>
      <w:bCs/>
      <w:iCs/>
      <w:color w:val="6699CC" w:themeColor="accent1"/>
      <w:sz w:val="20"/>
    </w:rPr>
  </w:style>
  <w:style w:type="paragraph" w:customStyle="1" w:styleId="Bullets">
    <w:name w:val="Bullets"/>
    <w:basedOn w:val="Body"/>
    <w:qFormat/>
    <w:rsid w:val="00043F21"/>
    <w:pPr>
      <w:numPr>
        <w:numId w:val="3"/>
      </w:numPr>
    </w:pPr>
  </w:style>
  <w:style w:type="paragraph" w:customStyle="1" w:styleId="ColorfulList-Accent11">
    <w:name w:val="Colorful List - Accent 11"/>
    <w:basedOn w:val="Normal"/>
    <w:uiPriority w:val="34"/>
    <w:rsid w:val="00124EA6"/>
    <w:pPr>
      <w:spacing w:after="200" w:line="276" w:lineRule="auto"/>
      <w:ind w:left="720"/>
    </w:pPr>
    <w:rPr>
      <w:rFonts w:eastAsiaTheme="minorEastAsia"/>
    </w:rPr>
  </w:style>
  <w:style w:type="paragraph" w:styleId="ListParagraph">
    <w:name w:val="List Paragraph"/>
    <w:basedOn w:val="Normal"/>
    <w:uiPriority w:val="34"/>
    <w:qFormat/>
    <w:rsid w:val="00124EA6"/>
    <w:pPr>
      <w:spacing w:after="200" w:line="276" w:lineRule="auto"/>
      <w:ind w:left="720"/>
    </w:pPr>
    <w:rPr>
      <w:rFonts w:eastAsiaTheme="minorEastAsia"/>
    </w:rPr>
  </w:style>
  <w:style w:type="paragraph" w:styleId="Caption">
    <w:name w:val="caption"/>
    <w:basedOn w:val="Normal"/>
    <w:next w:val="Normal"/>
    <w:uiPriority w:val="35"/>
    <w:unhideWhenUsed/>
    <w:qFormat/>
    <w:rsid w:val="007F1B00"/>
    <w:pPr>
      <w:spacing w:after="200" w:line="240" w:lineRule="auto"/>
    </w:pPr>
    <w:rPr>
      <w:rFonts w:ascii="Calibri" w:hAnsi="Calibri"/>
      <w:bCs/>
      <w:sz w:val="18"/>
      <w:szCs w:val="18"/>
    </w:rPr>
  </w:style>
  <w:style w:type="character" w:styleId="Hyperlink">
    <w:name w:val="Hyperlink"/>
    <w:basedOn w:val="DefaultParagraphFont"/>
    <w:uiPriority w:val="99"/>
    <w:unhideWhenUsed/>
    <w:rsid w:val="00043F21"/>
    <w:rPr>
      <w:color w:val="6682A3" w:themeColor="hyperlink"/>
      <w:u w:val="single"/>
    </w:rPr>
  </w:style>
  <w:style w:type="paragraph" w:styleId="ListBullet">
    <w:name w:val="List Bullet"/>
    <w:basedOn w:val="Normal"/>
    <w:uiPriority w:val="99"/>
    <w:unhideWhenUsed/>
    <w:rsid w:val="006A431B"/>
    <w:pPr>
      <w:numPr>
        <w:numId w:val="6"/>
      </w:numPr>
      <w:contextualSpacing/>
    </w:pPr>
  </w:style>
  <w:style w:type="paragraph" w:styleId="ListNumber">
    <w:name w:val="List Number"/>
    <w:basedOn w:val="Normal"/>
    <w:uiPriority w:val="99"/>
    <w:unhideWhenUsed/>
    <w:rsid w:val="00CA66F8"/>
    <w:pPr>
      <w:numPr>
        <w:numId w:val="11"/>
      </w:numPr>
      <w:tabs>
        <w:tab w:val="clear" w:pos="360"/>
        <w:tab w:val="num" w:pos="720"/>
      </w:tabs>
      <w:ind w:left="720"/>
      <w:contextualSpacing/>
    </w:pPr>
  </w:style>
  <w:style w:type="paragraph" w:customStyle="1" w:styleId="Bulletlist">
    <w:name w:val="Bullet list"/>
    <w:basedOn w:val="Bullets"/>
    <w:qFormat/>
    <w:rsid w:val="006A431B"/>
    <w:pPr>
      <w:contextualSpacing/>
    </w:pPr>
  </w:style>
  <w:style w:type="paragraph" w:customStyle="1" w:styleId="NumberedList">
    <w:name w:val="Numbered List"/>
    <w:basedOn w:val="Bulletlist"/>
    <w:qFormat/>
    <w:rsid w:val="006A431B"/>
    <w:pPr>
      <w:numPr>
        <w:numId w:val="20"/>
      </w:numPr>
    </w:pPr>
  </w:style>
  <w:style w:type="character" w:styleId="CommentReference">
    <w:name w:val="annotation reference"/>
    <w:basedOn w:val="DefaultParagraphFont"/>
    <w:uiPriority w:val="99"/>
    <w:semiHidden/>
    <w:unhideWhenUsed/>
    <w:rsid w:val="000A60F2"/>
    <w:rPr>
      <w:sz w:val="16"/>
      <w:szCs w:val="16"/>
    </w:rPr>
  </w:style>
  <w:style w:type="paragraph" w:styleId="CommentText">
    <w:name w:val="annotation text"/>
    <w:basedOn w:val="Normal"/>
    <w:link w:val="CommentTextChar"/>
    <w:uiPriority w:val="99"/>
    <w:unhideWhenUsed/>
    <w:rsid w:val="000A60F2"/>
    <w:pPr>
      <w:spacing w:line="240" w:lineRule="auto"/>
    </w:pPr>
    <w:rPr>
      <w:sz w:val="20"/>
      <w:szCs w:val="20"/>
    </w:rPr>
  </w:style>
  <w:style w:type="character" w:customStyle="1" w:styleId="CommentTextChar">
    <w:name w:val="Comment Text Char"/>
    <w:basedOn w:val="DefaultParagraphFont"/>
    <w:link w:val="CommentText"/>
    <w:uiPriority w:val="99"/>
    <w:rsid w:val="000A60F2"/>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0A60F2"/>
    <w:rPr>
      <w:b/>
      <w:bCs/>
    </w:rPr>
  </w:style>
  <w:style w:type="character" w:customStyle="1" w:styleId="CommentSubjectChar">
    <w:name w:val="Comment Subject Char"/>
    <w:basedOn w:val="CommentTextChar"/>
    <w:link w:val="CommentSubject"/>
    <w:uiPriority w:val="99"/>
    <w:semiHidden/>
    <w:rsid w:val="000A60F2"/>
    <w:rPr>
      <w:rFonts w:ascii="Garamond" w:hAnsi="Garamond"/>
      <w:b/>
      <w:bCs/>
      <w:sz w:val="20"/>
      <w:szCs w:val="20"/>
    </w:rPr>
  </w:style>
  <w:style w:type="paragraph" w:styleId="FootnoteText">
    <w:name w:val="footnote text"/>
    <w:basedOn w:val="Normal"/>
    <w:link w:val="FootnoteTextChar"/>
    <w:uiPriority w:val="99"/>
    <w:semiHidden/>
    <w:unhideWhenUsed/>
    <w:rsid w:val="00095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321"/>
    <w:rPr>
      <w:rFonts w:ascii="Garamond" w:hAnsi="Garamond"/>
      <w:sz w:val="20"/>
      <w:szCs w:val="20"/>
    </w:rPr>
  </w:style>
  <w:style w:type="character" w:styleId="FootnoteReference">
    <w:name w:val="footnote reference"/>
    <w:basedOn w:val="DefaultParagraphFont"/>
    <w:uiPriority w:val="99"/>
    <w:semiHidden/>
    <w:unhideWhenUsed/>
    <w:rsid w:val="00095321"/>
    <w:rPr>
      <w:vertAlign w:val="superscript"/>
    </w:rPr>
  </w:style>
  <w:style w:type="character" w:styleId="UnresolvedMention">
    <w:name w:val="Unresolved Mention"/>
    <w:basedOn w:val="DefaultParagraphFont"/>
    <w:uiPriority w:val="99"/>
    <w:semiHidden/>
    <w:unhideWhenUsed/>
    <w:rsid w:val="00A54BE9"/>
    <w:rPr>
      <w:color w:val="605E5C"/>
      <w:shd w:val="clear" w:color="auto" w:fill="E1DFDD"/>
    </w:rPr>
  </w:style>
  <w:style w:type="character" w:styleId="FollowedHyperlink">
    <w:name w:val="FollowedHyperlink"/>
    <w:basedOn w:val="DefaultParagraphFont"/>
    <w:uiPriority w:val="99"/>
    <w:semiHidden/>
    <w:unhideWhenUsed/>
    <w:rsid w:val="00F10A8F"/>
    <w:rPr>
      <w:color w:val="99CCFF" w:themeColor="followedHyperlink"/>
      <w:u w:val="single"/>
    </w:rPr>
  </w:style>
  <w:style w:type="character" w:customStyle="1" w:styleId="ui-provider">
    <w:name w:val="ui-provider"/>
    <w:basedOn w:val="DefaultParagraphFont"/>
    <w:rsid w:val="00AE0784"/>
  </w:style>
  <w:style w:type="character" w:styleId="Mention">
    <w:name w:val="Mention"/>
    <w:basedOn w:val="DefaultParagraphFont"/>
    <w:uiPriority w:val="99"/>
    <w:unhideWhenUsed/>
    <w:rsid w:val="000A4F7D"/>
    <w:rPr>
      <w:color w:val="2B579A"/>
      <w:shd w:val="clear" w:color="auto" w:fill="E1DFDD"/>
    </w:rPr>
  </w:style>
  <w:style w:type="paragraph" w:styleId="Revision">
    <w:name w:val="Revision"/>
    <w:hidden/>
    <w:uiPriority w:val="99"/>
    <w:semiHidden/>
    <w:rsid w:val="001E18B3"/>
    <w:pPr>
      <w:spacing w:after="0" w:line="240" w:lineRule="auto"/>
    </w:pPr>
    <w:rPr>
      <w:rFonts w:ascii="Garamond" w:hAnsi="Garamond"/>
    </w:rPr>
  </w:style>
  <w:style w:type="paragraph" w:customStyle="1" w:styleId="Pa13">
    <w:name w:val="Pa13"/>
    <w:basedOn w:val="Normal"/>
    <w:next w:val="Normal"/>
    <w:uiPriority w:val="99"/>
    <w:rsid w:val="00944606"/>
    <w:pPr>
      <w:autoSpaceDE w:val="0"/>
      <w:autoSpaceDN w:val="0"/>
      <w:adjustRightInd w:val="0"/>
      <w:spacing w:after="0" w:line="161" w:lineRule="atLeast"/>
    </w:pPr>
    <w:rPr>
      <w:rFonts w:ascii="Karla" w:hAnsi="Karla"/>
      <w:sz w:val="24"/>
      <w:szCs w:val="24"/>
    </w:rPr>
  </w:style>
  <w:style w:type="character" w:styleId="Emphasis">
    <w:name w:val="Emphasis"/>
    <w:basedOn w:val="DefaultParagraphFont"/>
    <w:uiPriority w:val="20"/>
    <w:semiHidden/>
    <w:rsid w:val="00294F75"/>
    <w:rPr>
      <w:i/>
      <w:iCs/>
    </w:rPr>
  </w:style>
  <w:style w:type="character" w:styleId="IntenseEmphasis">
    <w:name w:val="Intense Emphasis"/>
    <w:basedOn w:val="DefaultParagraphFont"/>
    <w:uiPriority w:val="21"/>
    <w:semiHidden/>
    <w:rsid w:val="00294F75"/>
    <w:rPr>
      <w:i/>
      <w:iCs/>
      <w:color w:val="6699CC" w:themeColor="accent1"/>
    </w:rPr>
  </w:style>
  <w:style w:type="character" w:styleId="Strong">
    <w:name w:val="Strong"/>
    <w:basedOn w:val="DefaultParagraphFont"/>
    <w:uiPriority w:val="22"/>
    <w:semiHidden/>
    <w:rsid w:val="00294F75"/>
    <w:rPr>
      <w:b/>
      <w:bCs/>
    </w:rPr>
  </w:style>
  <w:style w:type="paragraph" w:styleId="Quote">
    <w:name w:val="Quote"/>
    <w:basedOn w:val="Normal"/>
    <w:next w:val="Normal"/>
    <w:link w:val="QuoteChar"/>
    <w:uiPriority w:val="29"/>
    <w:semiHidden/>
    <w:rsid w:val="00294F7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4F75"/>
    <w:rPr>
      <w:rFonts w:ascii="Garamond" w:hAnsi="Garamond"/>
      <w:i/>
      <w:iCs/>
      <w:color w:val="404040" w:themeColor="text1" w:themeTint="BF"/>
    </w:rPr>
  </w:style>
  <w:style w:type="paragraph" w:styleId="IntenseQuote">
    <w:name w:val="Intense Quote"/>
    <w:basedOn w:val="Normal"/>
    <w:next w:val="Normal"/>
    <w:link w:val="IntenseQuoteChar"/>
    <w:uiPriority w:val="30"/>
    <w:semiHidden/>
    <w:rsid w:val="00294F75"/>
    <w:pPr>
      <w:pBdr>
        <w:top w:val="single" w:sz="4" w:space="10" w:color="6699CC" w:themeColor="accent1"/>
        <w:bottom w:val="single" w:sz="4" w:space="10" w:color="6699CC" w:themeColor="accent1"/>
      </w:pBdr>
      <w:spacing w:before="360" w:after="360"/>
      <w:ind w:left="864" w:right="864"/>
      <w:jc w:val="center"/>
    </w:pPr>
    <w:rPr>
      <w:i/>
      <w:iCs/>
      <w:color w:val="6699CC" w:themeColor="accent1"/>
    </w:rPr>
  </w:style>
  <w:style w:type="character" w:customStyle="1" w:styleId="IntenseQuoteChar">
    <w:name w:val="Intense Quote Char"/>
    <w:basedOn w:val="DefaultParagraphFont"/>
    <w:link w:val="IntenseQuote"/>
    <w:uiPriority w:val="30"/>
    <w:rsid w:val="00294F75"/>
    <w:rPr>
      <w:rFonts w:ascii="Garamond" w:hAnsi="Garamond"/>
      <w:i/>
      <w:iCs/>
      <w:color w:val="6699CC" w:themeColor="accent1"/>
    </w:rPr>
  </w:style>
  <w:style w:type="character" w:styleId="SubtleReference">
    <w:name w:val="Subtle Reference"/>
    <w:basedOn w:val="DefaultParagraphFont"/>
    <w:uiPriority w:val="31"/>
    <w:semiHidden/>
    <w:rsid w:val="00294F75"/>
    <w:rPr>
      <w:smallCaps/>
      <w:color w:val="5A5A5A" w:themeColor="text1" w:themeTint="A5"/>
    </w:rPr>
  </w:style>
  <w:style w:type="character" w:styleId="IntenseReference">
    <w:name w:val="Intense Reference"/>
    <w:basedOn w:val="DefaultParagraphFont"/>
    <w:uiPriority w:val="32"/>
    <w:semiHidden/>
    <w:rsid w:val="00294F75"/>
    <w:rPr>
      <w:b/>
      <w:bCs/>
      <w:smallCaps/>
      <w:color w:val="6699CC" w:themeColor="accent1"/>
      <w:spacing w:val="5"/>
    </w:rPr>
  </w:style>
  <w:style w:type="character" w:styleId="BookTitle">
    <w:name w:val="Book Title"/>
    <w:basedOn w:val="DefaultParagraphFont"/>
    <w:uiPriority w:val="33"/>
    <w:semiHidden/>
    <w:rsid w:val="00294F75"/>
    <w:rPr>
      <w:b/>
      <w:bCs/>
      <w:i/>
      <w:iCs/>
      <w:spacing w:val="5"/>
    </w:rPr>
  </w:style>
  <w:style w:type="paragraph" w:styleId="Date">
    <w:name w:val="Date"/>
    <w:basedOn w:val="Normal"/>
    <w:next w:val="Normal"/>
    <w:link w:val="DateChar"/>
    <w:uiPriority w:val="99"/>
    <w:semiHidden/>
    <w:unhideWhenUsed/>
    <w:rsid w:val="008C1D34"/>
  </w:style>
  <w:style w:type="character" w:customStyle="1" w:styleId="DateChar">
    <w:name w:val="Date Char"/>
    <w:basedOn w:val="DefaultParagraphFont"/>
    <w:link w:val="Date"/>
    <w:uiPriority w:val="99"/>
    <w:semiHidden/>
    <w:rsid w:val="008C1D34"/>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0781">
      <w:bodyDiv w:val="1"/>
      <w:marLeft w:val="0"/>
      <w:marRight w:val="0"/>
      <w:marTop w:val="0"/>
      <w:marBottom w:val="0"/>
      <w:divBdr>
        <w:top w:val="none" w:sz="0" w:space="0" w:color="auto"/>
        <w:left w:val="none" w:sz="0" w:space="0" w:color="auto"/>
        <w:bottom w:val="none" w:sz="0" w:space="0" w:color="auto"/>
        <w:right w:val="none" w:sz="0" w:space="0" w:color="auto"/>
      </w:divBdr>
    </w:div>
    <w:div w:id="858205728">
      <w:bodyDiv w:val="1"/>
      <w:marLeft w:val="0"/>
      <w:marRight w:val="0"/>
      <w:marTop w:val="0"/>
      <w:marBottom w:val="0"/>
      <w:divBdr>
        <w:top w:val="none" w:sz="0" w:space="0" w:color="auto"/>
        <w:left w:val="none" w:sz="0" w:space="0" w:color="auto"/>
        <w:bottom w:val="none" w:sz="0" w:space="0" w:color="auto"/>
        <w:right w:val="none" w:sz="0" w:space="0" w:color="auto"/>
      </w:divBdr>
      <w:divsChild>
        <w:div w:id="223830731">
          <w:marLeft w:val="547"/>
          <w:marRight w:val="0"/>
          <w:marTop w:val="0"/>
          <w:marBottom w:val="240"/>
          <w:divBdr>
            <w:top w:val="none" w:sz="0" w:space="0" w:color="auto"/>
            <w:left w:val="none" w:sz="0" w:space="0" w:color="auto"/>
            <w:bottom w:val="none" w:sz="0" w:space="0" w:color="auto"/>
            <w:right w:val="none" w:sz="0" w:space="0" w:color="auto"/>
          </w:divBdr>
        </w:div>
        <w:div w:id="1202284579">
          <w:marLeft w:val="547"/>
          <w:marRight w:val="0"/>
          <w:marTop w:val="0"/>
          <w:marBottom w:val="240"/>
          <w:divBdr>
            <w:top w:val="none" w:sz="0" w:space="0" w:color="auto"/>
            <w:left w:val="none" w:sz="0" w:space="0" w:color="auto"/>
            <w:bottom w:val="none" w:sz="0" w:space="0" w:color="auto"/>
            <w:right w:val="none" w:sz="0" w:space="0" w:color="auto"/>
          </w:divBdr>
        </w:div>
        <w:div w:id="1250578055">
          <w:marLeft w:val="547"/>
          <w:marRight w:val="0"/>
          <w:marTop w:val="0"/>
          <w:marBottom w:val="240"/>
          <w:divBdr>
            <w:top w:val="none" w:sz="0" w:space="0" w:color="auto"/>
            <w:left w:val="none" w:sz="0" w:space="0" w:color="auto"/>
            <w:bottom w:val="none" w:sz="0" w:space="0" w:color="auto"/>
            <w:right w:val="none" w:sz="0" w:space="0" w:color="auto"/>
          </w:divBdr>
        </w:div>
        <w:div w:id="1973974597">
          <w:marLeft w:val="547"/>
          <w:marRight w:val="0"/>
          <w:marTop w:val="0"/>
          <w:marBottom w:val="240"/>
          <w:divBdr>
            <w:top w:val="none" w:sz="0" w:space="0" w:color="auto"/>
            <w:left w:val="none" w:sz="0" w:space="0" w:color="auto"/>
            <w:bottom w:val="none" w:sz="0" w:space="0" w:color="auto"/>
            <w:right w:val="none" w:sz="0" w:space="0" w:color="auto"/>
          </w:divBdr>
        </w:div>
      </w:divsChild>
    </w:div>
    <w:div w:id="1290013666">
      <w:bodyDiv w:val="1"/>
      <w:marLeft w:val="0"/>
      <w:marRight w:val="0"/>
      <w:marTop w:val="0"/>
      <w:marBottom w:val="0"/>
      <w:divBdr>
        <w:top w:val="none" w:sz="0" w:space="0" w:color="auto"/>
        <w:left w:val="none" w:sz="0" w:space="0" w:color="auto"/>
        <w:bottom w:val="none" w:sz="0" w:space="0" w:color="auto"/>
        <w:right w:val="none" w:sz="0" w:space="0" w:color="auto"/>
      </w:divBdr>
      <w:divsChild>
        <w:div w:id="355933148">
          <w:marLeft w:val="547"/>
          <w:marRight w:val="0"/>
          <w:marTop w:val="0"/>
          <w:marBottom w:val="0"/>
          <w:divBdr>
            <w:top w:val="none" w:sz="0" w:space="0" w:color="auto"/>
            <w:left w:val="none" w:sz="0" w:space="0" w:color="auto"/>
            <w:bottom w:val="none" w:sz="0" w:space="0" w:color="auto"/>
            <w:right w:val="none" w:sz="0" w:space="0" w:color="auto"/>
          </w:divBdr>
        </w:div>
        <w:div w:id="974678740">
          <w:marLeft w:val="547"/>
          <w:marRight w:val="0"/>
          <w:marTop w:val="0"/>
          <w:marBottom w:val="0"/>
          <w:divBdr>
            <w:top w:val="none" w:sz="0" w:space="0" w:color="auto"/>
            <w:left w:val="none" w:sz="0" w:space="0" w:color="auto"/>
            <w:bottom w:val="none" w:sz="0" w:space="0" w:color="auto"/>
            <w:right w:val="none" w:sz="0" w:space="0" w:color="auto"/>
          </w:divBdr>
        </w:div>
        <w:div w:id="1029650684">
          <w:marLeft w:val="547"/>
          <w:marRight w:val="0"/>
          <w:marTop w:val="0"/>
          <w:marBottom w:val="0"/>
          <w:divBdr>
            <w:top w:val="none" w:sz="0" w:space="0" w:color="auto"/>
            <w:left w:val="none" w:sz="0" w:space="0" w:color="auto"/>
            <w:bottom w:val="none" w:sz="0" w:space="0" w:color="auto"/>
            <w:right w:val="none" w:sz="0" w:space="0" w:color="auto"/>
          </w:divBdr>
        </w:div>
        <w:div w:id="1086531770">
          <w:marLeft w:val="547"/>
          <w:marRight w:val="0"/>
          <w:marTop w:val="0"/>
          <w:marBottom w:val="0"/>
          <w:divBdr>
            <w:top w:val="none" w:sz="0" w:space="0" w:color="auto"/>
            <w:left w:val="none" w:sz="0" w:space="0" w:color="auto"/>
            <w:bottom w:val="none" w:sz="0" w:space="0" w:color="auto"/>
            <w:right w:val="none" w:sz="0" w:space="0" w:color="auto"/>
          </w:divBdr>
        </w:div>
        <w:div w:id="1952858258">
          <w:marLeft w:val="547"/>
          <w:marRight w:val="0"/>
          <w:marTop w:val="0"/>
          <w:marBottom w:val="0"/>
          <w:divBdr>
            <w:top w:val="none" w:sz="0" w:space="0" w:color="auto"/>
            <w:left w:val="none" w:sz="0" w:space="0" w:color="auto"/>
            <w:bottom w:val="none" w:sz="0" w:space="0" w:color="auto"/>
            <w:right w:val="none" w:sz="0" w:space="0" w:color="auto"/>
          </w:divBdr>
        </w:div>
      </w:divsChild>
    </w:div>
    <w:div w:id="1602106414">
      <w:bodyDiv w:val="1"/>
      <w:marLeft w:val="0"/>
      <w:marRight w:val="0"/>
      <w:marTop w:val="0"/>
      <w:marBottom w:val="0"/>
      <w:divBdr>
        <w:top w:val="none" w:sz="0" w:space="0" w:color="auto"/>
        <w:left w:val="none" w:sz="0" w:space="0" w:color="auto"/>
        <w:bottom w:val="none" w:sz="0" w:space="0" w:color="auto"/>
        <w:right w:val="none" w:sz="0" w:space="0" w:color="auto"/>
      </w:divBdr>
    </w:div>
    <w:div w:id="1821120143">
      <w:bodyDiv w:val="1"/>
      <w:marLeft w:val="0"/>
      <w:marRight w:val="0"/>
      <w:marTop w:val="0"/>
      <w:marBottom w:val="0"/>
      <w:divBdr>
        <w:top w:val="none" w:sz="0" w:space="0" w:color="auto"/>
        <w:left w:val="none" w:sz="0" w:space="0" w:color="auto"/>
        <w:bottom w:val="none" w:sz="0" w:space="0" w:color="auto"/>
        <w:right w:val="none" w:sz="0" w:space="0" w:color="auto"/>
      </w:divBdr>
    </w:div>
    <w:div w:id="1825513668">
      <w:bodyDiv w:val="1"/>
      <w:marLeft w:val="0"/>
      <w:marRight w:val="0"/>
      <w:marTop w:val="0"/>
      <w:marBottom w:val="0"/>
      <w:divBdr>
        <w:top w:val="none" w:sz="0" w:space="0" w:color="auto"/>
        <w:left w:val="none" w:sz="0" w:space="0" w:color="auto"/>
        <w:bottom w:val="none" w:sz="0" w:space="0" w:color="auto"/>
        <w:right w:val="none" w:sz="0" w:space="0" w:color="auto"/>
      </w:divBdr>
      <w:divsChild>
        <w:div w:id="290523284">
          <w:marLeft w:val="720"/>
          <w:marRight w:val="0"/>
          <w:marTop w:val="0"/>
          <w:marBottom w:val="0"/>
          <w:divBdr>
            <w:top w:val="none" w:sz="0" w:space="0" w:color="auto"/>
            <w:left w:val="none" w:sz="0" w:space="0" w:color="auto"/>
            <w:bottom w:val="none" w:sz="0" w:space="0" w:color="auto"/>
            <w:right w:val="none" w:sz="0" w:space="0" w:color="auto"/>
          </w:divBdr>
        </w:div>
        <w:div w:id="447965257">
          <w:marLeft w:val="720"/>
          <w:marRight w:val="0"/>
          <w:marTop w:val="0"/>
          <w:marBottom w:val="240"/>
          <w:divBdr>
            <w:top w:val="none" w:sz="0" w:space="0" w:color="auto"/>
            <w:left w:val="none" w:sz="0" w:space="0" w:color="auto"/>
            <w:bottom w:val="none" w:sz="0" w:space="0" w:color="auto"/>
            <w:right w:val="none" w:sz="0" w:space="0" w:color="auto"/>
          </w:divBdr>
        </w:div>
        <w:div w:id="801462927">
          <w:marLeft w:val="720"/>
          <w:marRight w:val="0"/>
          <w:marTop w:val="0"/>
          <w:marBottom w:val="0"/>
          <w:divBdr>
            <w:top w:val="none" w:sz="0" w:space="0" w:color="auto"/>
            <w:left w:val="none" w:sz="0" w:space="0" w:color="auto"/>
            <w:bottom w:val="none" w:sz="0" w:space="0" w:color="auto"/>
            <w:right w:val="none" w:sz="0" w:space="0" w:color="auto"/>
          </w:divBdr>
        </w:div>
        <w:div w:id="94989156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ette.nazareth@icvcm.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ta.org/resources/trading-documents/" TargetMode="External"/><Relationship Id="rId3" Type="http://schemas.openxmlformats.org/officeDocument/2006/relationships/hyperlink" Target="https://icvcm.org/the-core-carbon-principles/" TargetMode="External"/><Relationship Id="rId7" Type="http://schemas.openxmlformats.org/officeDocument/2006/relationships/hyperlink" Target="https://icvcm.org/wp-content/uploads/2024/02/CCP-Section-3-V2-FINAL-6Feb24.pdf" TargetMode="External"/><Relationship Id="rId2" Type="http://schemas.openxmlformats.org/officeDocument/2006/relationships/hyperlink" Target="https://www.cftc.gov/sites/default/files/2023/12/PR%208829-23.pdf" TargetMode="External"/><Relationship Id="rId1" Type="http://schemas.openxmlformats.org/officeDocument/2006/relationships/hyperlink" Target="https://www.cftc.gov/sites/default/files/2023/12/2023-28532a.pdf" TargetMode="External"/><Relationship Id="rId6" Type="http://schemas.openxmlformats.org/officeDocument/2006/relationships/hyperlink" Target="https://icvcm.org/wp-content/uploads/2024/02/CCP-Section-4-V2-FINAL-6Feb24.pdf" TargetMode="External"/><Relationship Id="rId5" Type="http://schemas.openxmlformats.org/officeDocument/2006/relationships/hyperlink" Target="https://www.ecosystemmarketplace.com/publications/state-of-the-voluntary-carbon-market-report-2023/" TargetMode="External"/><Relationship Id="rId4" Type="http://schemas.openxmlformats.org/officeDocument/2006/relationships/hyperlink" Target="https://carboncredits.com/voluntary-carbon-credit-buyers-willing-to-pay-more-for-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Ye\Center%20for%20Climate%20and%20Energy%20Solutions\Technology%20Working%20Groups%20-%20Documents\General\Templates\General%20Template%20-%20Word.dotx" TargetMode="External"/></Relationships>
</file>

<file path=word/theme/theme1.xml><?xml version="1.0" encoding="utf-8"?>
<a:theme xmlns:a="http://schemas.openxmlformats.org/drawingml/2006/main" name="Office Theme">
  <a:themeElements>
    <a:clrScheme name="C2ES-Final">
      <a:dk1>
        <a:srgbClr val="000000"/>
      </a:dk1>
      <a:lt1>
        <a:srgbClr val="FFFFFF"/>
      </a:lt1>
      <a:dk2>
        <a:srgbClr val="003366"/>
      </a:dk2>
      <a:lt2>
        <a:srgbClr val="E4DFCF"/>
      </a:lt2>
      <a:accent1>
        <a:srgbClr val="6699CC"/>
      </a:accent1>
      <a:accent2>
        <a:srgbClr val="669900"/>
      </a:accent2>
      <a:accent3>
        <a:srgbClr val="C0739C"/>
      </a:accent3>
      <a:accent4>
        <a:srgbClr val="993333"/>
      </a:accent4>
      <a:accent5>
        <a:srgbClr val="003366"/>
      </a:accent5>
      <a:accent6>
        <a:srgbClr val="FF9933"/>
      </a:accent6>
      <a:hlink>
        <a:srgbClr val="6682A3"/>
      </a:hlink>
      <a:folHlink>
        <a:srgbClr val="99CCFF"/>
      </a:folHlink>
    </a:clrScheme>
    <a:fontScheme name="C2ES Secondary">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044EF553E024BA654A2947D95AE6F" ma:contentTypeVersion="17" ma:contentTypeDescription="Create a new document." ma:contentTypeScope="" ma:versionID="9a56d7eb4df88dd98a331edd54a69cd1">
  <xsd:schema xmlns:xsd="http://www.w3.org/2001/XMLSchema" xmlns:xs="http://www.w3.org/2001/XMLSchema" xmlns:p="http://schemas.microsoft.com/office/2006/metadata/properties" xmlns:ns2="d966ce52-1f27-49b8-a333-f2bccf13868c" xmlns:ns3="2daa5c72-3e36-430e-ade5-daaec8cfbfa0" targetNamespace="http://schemas.microsoft.com/office/2006/metadata/properties" ma:root="true" ma:fieldsID="b8d8a668e1258618cfffbddb5bf8317c" ns2:_="" ns3:_="">
    <xsd:import namespace="d966ce52-1f27-49b8-a333-f2bccf13868c"/>
    <xsd:import namespace="2daa5c72-3e36-430e-ade5-daaec8cfbf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6ce52-1f27-49b8-a333-f2bccf1386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02debc8-468b-4e6f-b3c8-73e83ae8321a}" ma:internalName="TaxCatchAll" ma:showField="CatchAllData" ma:web="d966ce52-1f27-49b8-a333-f2bccf1386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aa5c72-3e36-430e-ade5-daaec8cfbf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c054d54-bcb4-4041-aef7-df0bd22a21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p:properties xmlns:p="http://schemas.microsoft.com/office/2006/metadata/properties" xmlns:xsi="http://www.w3.org/2001/XMLSchema-instance" xmlns:pc="http://schemas.microsoft.com/office/infopath/2007/PartnerControls">
  <documentManagement>
    <TaxCatchAll xmlns="d966ce52-1f27-49b8-a333-f2bccf13868c" xsi:nil="true"/>
    <lcf76f155ced4ddcb4097134ff3c332f xmlns="2daa5c72-3e36-430e-ade5-daaec8cfbfa0">
      <Terms xmlns="http://schemas.microsoft.com/office/infopath/2007/PartnerControls"/>
    </lcf76f155ced4ddcb4097134ff3c332f>
    <SharedWithUsers xmlns="d966ce52-1f27-49b8-a333-f2bccf13868c">
      <UserInfo>
        <DisplayName>Catalina Cecchi</DisplayName>
        <AccountId>4035</AccountId>
        <AccountType/>
      </UserInfo>
      <UserInfo>
        <DisplayName>Jason Ye</DisplayName>
        <AccountId>37</AccountId>
        <AccountType/>
      </UserInfo>
    </SharedWithUsers>
  </documentManagement>
</p:properties>
</file>

<file path=customXml/itemProps1.xml><?xml version="1.0" encoding="utf-8"?>
<ds:datastoreItem xmlns:ds="http://schemas.openxmlformats.org/officeDocument/2006/customXml" ds:itemID="{3CFD86E7-528C-47E7-BB73-D56AC42FD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6ce52-1f27-49b8-a333-f2bccf13868c"/>
    <ds:schemaRef ds:uri="2daa5c72-3e36-430e-ade5-daaec8cfb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E75D5-8E05-489E-9B1C-A19E8F124FDA}">
  <ds:schemaRefs>
    <ds:schemaRef ds:uri="http://schemas.microsoft.com/sharepoint/v3/contenttype/forms"/>
  </ds:schemaRefs>
</ds:datastoreItem>
</file>

<file path=customXml/itemProps3.xml><?xml version="1.0" encoding="utf-8"?>
<ds:datastoreItem xmlns:ds="http://schemas.openxmlformats.org/officeDocument/2006/customXml" ds:itemID="{7E677BDA-84FA-43FB-A574-D73400E8A35B}">
  <ds:schemaRefs>
    <ds:schemaRef ds:uri="http://schemas.openxmlformats.org/officeDocument/2006/bibliography"/>
  </ds:schemaRefs>
</ds:datastoreItem>
</file>

<file path=customXml/itemProps4.xml><?xml version="1.0" encoding="utf-8"?>
<ds:datastoreItem xmlns:ds="http://schemas.openxmlformats.org/officeDocument/2006/customXml" ds:itemID="{C12ACF76-F23D-4796-AF70-F117A9899C23}">
  <ds:schemaRefs>
    <ds:schemaRef ds:uri="http://schemas.microsoft.com/office/2006/metadata/properties"/>
    <ds:schemaRef ds:uri="http://schemas.microsoft.com/office/infopath/2007/PartnerControls"/>
    <ds:schemaRef ds:uri="d966ce52-1f27-49b8-a333-f2bccf13868c"/>
    <ds:schemaRef ds:uri="2daa5c72-3e36-430e-ade5-daaec8cfbfa0"/>
  </ds:schemaRefs>
</ds:datastoreItem>
</file>

<file path=docProps/app.xml><?xml version="1.0" encoding="utf-8"?>
<Properties xmlns="http://schemas.openxmlformats.org/officeDocument/2006/extended-properties" xmlns:vt="http://schemas.openxmlformats.org/officeDocument/2006/docPropsVTypes">
  <Template>General Template - Word</Template>
  <TotalTime>1</TotalTime>
  <Pages>13</Pages>
  <Words>4053</Words>
  <Characters>23106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27105</CharactersWithSpaces>
  <SharedDoc>false</SharedDoc>
  <HLinks>
    <vt:vector size="54" baseType="variant">
      <vt:variant>
        <vt:i4>7471115</vt:i4>
      </vt:variant>
      <vt:variant>
        <vt:i4>0</vt:i4>
      </vt:variant>
      <vt:variant>
        <vt:i4>0</vt:i4>
      </vt:variant>
      <vt:variant>
        <vt:i4>5</vt:i4>
      </vt:variant>
      <vt:variant>
        <vt:lpwstr>mailto:annette.nazareth@icvcm.org</vt:lpwstr>
      </vt:variant>
      <vt:variant>
        <vt:lpwstr/>
      </vt:variant>
      <vt:variant>
        <vt:i4>4980802</vt:i4>
      </vt:variant>
      <vt:variant>
        <vt:i4>24</vt:i4>
      </vt:variant>
      <vt:variant>
        <vt:i4>0</vt:i4>
      </vt:variant>
      <vt:variant>
        <vt:i4>5</vt:i4>
      </vt:variant>
      <vt:variant>
        <vt:lpwstr>https://www.ieta.org/resources/trading-documents/</vt:lpwstr>
      </vt:variant>
      <vt:variant>
        <vt:lpwstr/>
      </vt:variant>
      <vt:variant>
        <vt:i4>7798840</vt:i4>
      </vt:variant>
      <vt:variant>
        <vt:i4>21</vt:i4>
      </vt:variant>
      <vt:variant>
        <vt:i4>0</vt:i4>
      </vt:variant>
      <vt:variant>
        <vt:i4>5</vt:i4>
      </vt:variant>
      <vt:variant>
        <vt:lpwstr>https://icvcm.org/wp-content/uploads/2024/02/CCP-Section-3-V2-FINAL-6Feb24.pdf</vt:lpwstr>
      </vt:variant>
      <vt:variant>
        <vt:lpwstr/>
      </vt:variant>
      <vt:variant>
        <vt:i4>7340088</vt:i4>
      </vt:variant>
      <vt:variant>
        <vt:i4>18</vt:i4>
      </vt:variant>
      <vt:variant>
        <vt:i4>0</vt:i4>
      </vt:variant>
      <vt:variant>
        <vt:i4>5</vt:i4>
      </vt:variant>
      <vt:variant>
        <vt:lpwstr>https://icvcm.org/wp-content/uploads/2024/02/CCP-Section-4-V2-FINAL-6Feb24.pdf</vt:lpwstr>
      </vt:variant>
      <vt:variant>
        <vt:lpwstr/>
      </vt:variant>
      <vt:variant>
        <vt:i4>3735586</vt:i4>
      </vt:variant>
      <vt:variant>
        <vt:i4>12</vt:i4>
      </vt:variant>
      <vt:variant>
        <vt:i4>0</vt:i4>
      </vt:variant>
      <vt:variant>
        <vt:i4>5</vt:i4>
      </vt:variant>
      <vt:variant>
        <vt:lpwstr>https://www.ecosystemmarketplace.com/publications/state-of-the-voluntary-carbon-market-report-2023/</vt:lpwstr>
      </vt:variant>
      <vt:variant>
        <vt:lpwstr/>
      </vt:variant>
      <vt:variant>
        <vt:i4>7667821</vt:i4>
      </vt:variant>
      <vt:variant>
        <vt:i4>9</vt:i4>
      </vt:variant>
      <vt:variant>
        <vt:i4>0</vt:i4>
      </vt:variant>
      <vt:variant>
        <vt:i4>5</vt:i4>
      </vt:variant>
      <vt:variant>
        <vt:lpwstr>https://carboncredits.com/voluntary-carbon-credit-buyers-willing-to-pay-more-for-quality/</vt:lpwstr>
      </vt:variant>
      <vt:variant>
        <vt:lpwstr>:~:text=Analysis%20of%20transaction%20data%20indicates,for%20credits%20of%20superior%20quality</vt:lpwstr>
      </vt:variant>
      <vt:variant>
        <vt:i4>1310741</vt:i4>
      </vt:variant>
      <vt:variant>
        <vt:i4>6</vt:i4>
      </vt:variant>
      <vt:variant>
        <vt:i4>0</vt:i4>
      </vt:variant>
      <vt:variant>
        <vt:i4>5</vt:i4>
      </vt:variant>
      <vt:variant>
        <vt:lpwstr>https://icvcm.org/the-core-carbon-principles/</vt:lpwstr>
      </vt:variant>
      <vt:variant>
        <vt:lpwstr/>
      </vt:variant>
      <vt:variant>
        <vt:i4>6684789</vt:i4>
      </vt:variant>
      <vt:variant>
        <vt:i4>3</vt:i4>
      </vt:variant>
      <vt:variant>
        <vt:i4>0</vt:i4>
      </vt:variant>
      <vt:variant>
        <vt:i4>5</vt:i4>
      </vt:variant>
      <vt:variant>
        <vt:lpwstr>https://www.cftc.gov/sites/default/files/2023/12/PR 8829-23.pdf</vt:lpwstr>
      </vt:variant>
      <vt:variant>
        <vt:lpwstr/>
      </vt:variant>
      <vt:variant>
        <vt:i4>1966111</vt:i4>
      </vt:variant>
      <vt:variant>
        <vt:i4>0</vt:i4>
      </vt:variant>
      <vt:variant>
        <vt:i4>0</vt:i4>
      </vt:variant>
      <vt:variant>
        <vt:i4>5</vt:i4>
      </vt:variant>
      <vt:variant>
        <vt:lpwstr>https://www.cftc.gov/sites/default/files/2023/12/2023-28532a.pdf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Ye</dc:creator>
  <cp:keywords/>
  <dc:description/>
  <cp:lastModifiedBy>Sophie Wainwright</cp:lastModifiedBy>
  <cp:revision>2</cp:revision>
  <cp:lastPrinted>2024-02-03T13:31:00Z</cp:lastPrinted>
  <dcterms:created xsi:type="dcterms:W3CDTF">2024-02-16T14:46:00Z</dcterms:created>
  <dcterms:modified xsi:type="dcterms:W3CDTF">2024-02-16T14:46:00Z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0x010100824044EF553E024BA654A2947D95AE6F</vt:lpwstr>
  </property>
  <property fmtid="{D5CDD505-2E9C-101B-9397-08002B2CF9AE}" pid="3" name="MediaServiceImageTags">
    <vt:lpwstr/>
  </property>
  <property fmtid="{D5CDD505-2E9C-101B-9397-08002B2CF9AE}" pid="4" name="DPWPathText">
    <vt:lpwstr>#97911364v1</vt:lpwstr>
  </property>
</Properties>
</file>