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3C64" w14:textId="27CBF996" w:rsidR="0050360E" w:rsidRDefault="00BB700B" w:rsidP="00CF760B">
      <w:pPr>
        <w:rPr>
          <w:rFonts w:ascii="Arial" w:hAnsi="Arial" w:cs="Arial"/>
          <w:sz w:val="24"/>
          <w:szCs w:val="24"/>
        </w:rPr>
      </w:pPr>
      <w:r>
        <w:rPr>
          <w:b/>
          <w:noProof/>
          <w:sz w:val="36"/>
          <w:szCs w:val="36"/>
        </w:rPr>
        <w:drawing>
          <wp:inline distT="0" distB="0" distL="0" distR="0" wp14:anchorId="5732B0AE" wp14:editId="4EB0DE19">
            <wp:extent cx="1578634" cy="568960"/>
            <wp:effectExtent l="0" t="0" r="2540" b="2540"/>
            <wp:docPr id="1" name="Picture 1" descr="I:\Redesign and Branding Projects\2016-17 Brand Refresh\New Brand Style Guide and Assets\N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design and Branding Projects\2016-17 Brand Refresh\New Brand Style Guide and Assets\NF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82" cy="643799"/>
                    </a:xfrm>
                    <a:prstGeom prst="rect">
                      <a:avLst/>
                    </a:prstGeom>
                    <a:noFill/>
                    <a:ln>
                      <a:noFill/>
                    </a:ln>
                  </pic:spPr>
                </pic:pic>
              </a:graphicData>
            </a:graphic>
          </wp:inline>
        </w:drawing>
      </w:r>
    </w:p>
    <w:p w14:paraId="01511355" w14:textId="77777777" w:rsidR="00BB700B" w:rsidRDefault="00BB700B" w:rsidP="00CF760B">
      <w:pPr>
        <w:spacing w:after="0" w:line="240" w:lineRule="auto"/>
        <w:rPr>
          <w:rFonts w:ascii="Arial" w:hAnsi="Arial" w:cs="Arial"/>
          <w:sz w:val="24"/>
          <w:szCs w:val="24"/>
        </w:rPr>
      </w:pPr>
    </w:p>
    <w:p w14:paraId="5B4F4507" w14:textId="7634E5ED" w:rsidR="0050360E" w:rsidRPr="00562F49" w:rsidRDefault="00BB700B" w:rsidP="00BB700B">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85A05">
        <w:rPr>
          <w:rFonts w:ascii="Arial" w:hAnsi="Arial" w:cs="Arial"/>
          <w:sz w:val="24"/>
          <w:szCs w:val="24"/>
        </w:rPr>
        <w:t>December 11, 2023</w:t>
      </w:r>
      <w:r w:rsidR="0050360E" w:rsidRPr="00562F49">
        <w:rPr>
          <w:rFonts w:ascii="Arial" w:hAnsi="Arial" w:cs="Arial"/>
          <w:sz w:val="24"/>
          <w:szCs w:val="24"/>
        </w:rPr>
        <w:t xml:space="preserve"> </w:t>
      </w:r>
    </w:p>
    <w:p w14:paraId="0B18094B" w14:textId="77777777" w:rsidR="0050360E" w:rsidRPr="00562F49" w:rsidRDefault="0050360E" w:rsidP="00BB700B">
      <w:pPr>
        <w:spacing w:after="0" w:line="240" w:lineRule="auto"/>
        <w:rPr>
          <w:rFonts w:ascii="Arial" w:hAnsi="Arial" w:cs="Arial"/>
          <w:sz w:val="24"/>
          <w:szCs w:val="24"/>
        </w:rPr>
      </w:pPr>
    </w:p>
    <w:p w14:paraId="34293D5E" w14:textId="77777777" w:rsidR="0050360E" w:rsidRPr="00562F49" w:rsidRDefault="0050360E" w:rsidP="00BB700B">
      <w:pPr>
        <w:spacing w:after="0" w:line="240" w:lineRule="auto"/>
        <w:rPr>
          <w:rFonts w:ascii="Arial" w:hAnsi="Arial" w:cs="Arial"/>
          <w:sz w:val="24"/>
          <w:szCs w:val="24"/>
        </w:rPr>
      </w:pPr>
    </w:p>
    <w:p w14:paraId="2D23FEB0" w14:textId="77777777" w:rsidR="0050360E" w:rsidRPr="00562F49" w:rsidRDefault="0050360E" w:rsidP="0050360E">
      <w:pPr>
        <w:spacing w:after="0" w:line="240" w:lineRule="auto"/>
        <w:rPr>
          <w:rFonts w:ascii="Arial" w:eastAsia="Times New Roman" w:hAnsi="Arial" w:cs="Times New Roman"/>
          <w:sz w:val="24"/>
          <w:szCs w:val="24"/>
        </w:rPr>
      </w:pPr>
      <w:r w:rsidRPr="00562F49">
        <w:rPr>
          <w:rFonts w:ascii="Arial" w:eastAsia="Times New Roman" w:hAnsi="Arial" w:cs="Times New Roman"/>
          <w:sz w:val="24"/>
          <w:szCs w:val="24"/>
        </w:rPr>
        <w:t>Mr. Christopher Kirkpatrick</w:t>
      </w:r>
    </w:p>
    <w:p w14:paraId="58EE80F9" w14:textId="77777777" w:rsidR="0050360E" w:rsidRPr="00562F49" w:rsidRDefault="0050360E" w:rsidP="0050360E">
      <w:pPr>
        <w:spacing w:after="0" w:line="240" w:lineRule="auto"/>
        <w:rPr>
          <w:rFonts w:ascii="Arial" w:eastAsia="Times New Roman" w:hAnsi="Arial" w:cs="Times New Roman"/>
          <w:sz w:val="24"/>
          <w:szCs w:val="24"/>
        </w:rPr>
      </w:pPr>
      <w:r>
        <w:rPr>
          <w:rFonts w:ascii="Arial" w:eastAsia="Times New Roman" w:hAnsi="Arial" w:cs="Times New Roman"/>
          <w:sz w:val="24"/>
          <w:szCs w:val="24"/>
        </w:rPr>
        <w:t>Secretary of the Commission</w:t>
      </w:r>
    </w:p>
    <w:p w14:paraId="50D6C4E5" w14:textId="77777777" w:rsidR="0050360E" w:rsidRPr="00562F49" w:rsidRDefault="0050360E" w:rsidP="0050360E">
      <w:pPr>
        <w:spacing w:after="0" w:line="240" w:lineRule="auto"/>
        <w:rPr>
          <w:rFonts w:ascii="Arial" w:eastAsia="Times New Roman" w:hAnsi="Arial" w:cs="Times New Roman"/>
          <w:sz w:val="24"/>
          <w:szCs w:val="24"/>
        </w:rPr>
      </w:pPr>
      <w:r w:rsidRPr="00562F49">
        <w:rPr>
          <w:rFonts w:ascii="Arial" w:eastAsia="Times New Roman" w:hAnsi="Arial" w:cs="Times New Roman"/>
          <w:sz w:val="24"/>
          <w:szCs w:val="24"/>
        </w:rPr>
        <w:t>Commodity Futures Trading Commission</w:t>
      </w:r>
    </w:p>
    <w:p w14:paraId="5A4C695F" w14:textId="77777777" w:rsidR="0050360E" w:rsidRPr="00562F49" w:rsidRDefault="0050360E" w:rsidP="0050360E">
      <w:pPr>
        <w:spacing w:after="0" w:line="240" w:lineRule="auto"/>
        <w:rPr>
          <w:rFonts w:ascii="Arial" w:eastAsia="Times New Roman" w:hAnsi="Arial" w:cs="Times New Roman"/>
          <w:sz w:val="24"/>
          <w:szCs w:val="24"/>
        </w:rPr>
      </w:pPr>
      <w:r w:rsidRPr="00562F49">
        <w:rPr>
          <w:rFonts w:ascii="Arial" w:eastAsia="Times New Roman" w:hAnsi="Arial" w:cs="Times New Roman"/>
          <w:sz w:val="24"/>
          <w:szCs w:val="24"/>
        </w:rPr>
        <w:t>Three Lafayette Centre</w:t>
      </w:r>
    </w:p>
    <w:p w14:paraId="407335BB" w14:textId="77777777" w:rsidR="0050360E" w:rsidRPr="00562F49" w:rsidRDefault="0050360E" w:rsidP="0050360E">
      <w:pPr>
        <w:spacing w:after="0" w:line="240" w:lineRule="auto"/>
        <w:rPr>
          <w:rFonts w:ascii="Arial" w:eastAsia="Times New Roman" w:hAnsi="Arial" w:cs="Times New Roman"/>
          <w:sz w:val="24"/>
          <w:szCs w:val="24"/>
        </w:rPr>
      </w:pPr>
      <w:r w:rsidRPr="00562F49">
        <w:rPr>
          <w:rFonts w:ascii="Arial" w:eastAsia="Times New Roman" w:hAnsi="Arial" w:cs="Times New Roman"/>
          <w:sz w:val="24"/>
          <w:szCs w:val="24"/>
        </w:rPr>
        <w:t>1155 21st Street, N.W.</w:t>
      </w:r>
    </w:p>
    <w:p w14:paraId="1EE12712" w14:textId="77777777" w:rsidR="0050360E" w:rsidRPr="00562F49" w:rsidRDefault="0050360E" w:rsidP="0050360E">
      <w:pPr>
        <w:tabs>
          <w:tab w:val="left" w:pos="3468"/>
        </w:tabs>
        <w:spacing w:after="0" w:line="240" w:lineRule="auto"/>
        <w:rPr>
          <w:rFonts w:ascii="Arial" w:eastAsia="Times New Roman" w:hAnsi="Arial" w:cs="Times New Roman"/>
          <w:sz w:val="24"/>
          <w:szCs w:val="24"/>
        </w:rPr>
      </w:pPr>
      <w:r w:rsidRPr="00562F49">
        <w:rPr>
          <w:rFonts w:ascii="Arial" w:eastAsia="Times New Roman" w:hAnsi="Arial" w:cs="Times New Roman"/>
          <w:sz w:val="24"/>
          <w:szCs w:val="24"/>
        </w:rPr>
        <w:t>Washington, D.C. 20581</w:t>
      </w:r>
    </w:p>
    <w:p w14:paraId="3EA492BD" w14:textId="77777777" w:rsidR="0050360E" w:rsidRPr="00562F49" w:rsidRDefault="0050360E" w:rsidP="0050360E">
      <w:pPr>
        <w:spacing w:after="0" w:line="240" w:lineRule="auto"/>
        <w:ind w:hanging="540"/>
        <w:rPr>
          <w:rFonts w:ascii="Arial" w:hAnsi="Arial" w:cs="Arial"/>
          <w:sz w:val="24"/>
          <w:szCs w:val="24"/>
        </w:rPr>
      </w:pPr>
    </w:p>
    <w:p w14:paraId="4A9E3526" w14:textId="4D83D4B4" w:rsidR="0050360E" w:rsidRDefault="0050360E" w:rsidP="0050360E">
      <w:pPr>
        <w:spacing w:after="0" w:line="240" w:lineRule="auto"/>
        <w:ind w:left="1260" w:hanging="540"/>
        <w:rPr>
          <w:rFonts w:ascii="Arial" w:hAnsi="Arial" w:cs="Arial"/>
          <w:sz w:val="24"/>
          <w:szCs w:val="24"/>
        </w:rPr>
      </w:pPr>
      <w:r w:rsidRPr="00562F49">
        <w:rPr>
          <w:rFonts w:ascii="Arial" w:hAnsi="Arial" w:cs="Arial"/>
          <w:sz w:val="24"/>
          <w:szCs w:val="24"/>
        </w:rPr>
        <w:t>Re:</w:t>
      </w:r>
      <w:r>
        <w:rPr>
          <w:rFonts w:ascii="Arial" w:hAnsi="Arial" w:cs="Arial"/>
          <w:sz w:val="24"/>
          <w:szCs w:val="24"/>
        </w:rPr>
        <w:t xml:space="preserve"> </w:t>
      </w:r>
      <w:r>
        <w:rPr>
          <w:rFonts w:ascii="Arial" w:hAnsi="Arial" w:cs="Arial"/>
          <w:sz w:val="24"/>
          <w:szCs w:val="24"/>
        </w:rPr>
        <w:tab/>
        <w:t>RIN 3038-AF</w:t>
      </w:r>
      <w:r w:rsidR="00285A05">
        <w:rPr>
          <w:rFonts w:ascii="Arial" w:hAnsi="Arial" w:cs="Arial"/>
          <w:sz w:val="24"/>
          <w:szCs w:val="24"/>
        </w:rPr>
        <w:t>25</w:t>
      </w:r>
      <w:r>
        <w:rPr>
          <w:rFonts w:ascii="Arial" w:hAnsi="Arial" w:cs="Arial"/>
          <w:sz w:val="24"/>
          <w:szCs w:val="24"/>
        </w:rPr>
        <w:t xml:space="preserve">:  </w:t>
      </w:r>
      <w:r w:rsidR="00285A05">
        <w:rPr>
          <w:rFonts w:ascii="Arial" w:hAnsi="Arial" w:cs="Arial"/>
          <w:sz w:val="24"/>
          <w:szCs w:val="24"/>
        </w:rPr>
        <w:t>Updating the Qualified Eligible Person Definition; Adding Minimum Disclosure Requirements for Pools and Trading Programs; Permitting Monthly Account Statements for Funds of Funds; Technical Amendments</w:t>
      </w:r>
    </w:p>
    <w:p w14:paraId="3269E080" w14:textId="77777777" w:rsidR="0050360E" w:rsidRDefault="0050360E" w:rsidP="0050360E">
      <w:pPr>
        <w:spacing w:after="0" w:line="240" w:lineRule="auto"/>
        <w:ind w:left="720"/>
        <w:rPr>
          <w:rFonts w:ascii="Arial" w:hAnsi="Arial" w:cs="Arial"/>
          <w:sz w:val="24"/>
          <w:szCs w:val="24"/>
        </w:rPr>
      </w:pPr>
    </w:p>
    <w:p w14:paraId="22D66558" w14:textId="77777777" w:rsidR="0050360E" w:rsidRDefault="0050360E" w:rsidP="0050360E">
      <w:pPr>
        <w:spacing w:after="0" w:line="240" w:lineRule="auto"/>
        <w:rPr>
          <w:rFonts w:ascii="Arial" w:hAnsi="Arial" w:cs="Arial"/>
          <w:sz w:val="24"/>
          <w:szCs w:val="24"/>
        </w:rPr>
      </w:pPr>
      <w:r w:rsidRPr="00562F49">
        <w:rPr>
          <w:rFonts w:ascii="Arial" w:hAnsi="Arial" w:cs="Arial"/>
          <w:sz w:val="24"/>
          <w:szCs w:val="24"/>
        </w:rPr>
        <w:t>Dear Mr. Kirkpatrick:</w:t>
      </w:r>
    </w:p>
    <w:p w14:paraId="15FAA874" w14:textId="77777777" w:rsidR="0050360E" w:rsidRPr="00562F49" w:rsidRDefault="0050360E" w:rsidP="0050360E">
      <w:pPr>
        <w:spacing w:after="0" w:line="240" w:lineRule="auto"/>
        <w:rPr>
          <w:rFonts w:ascii="Arial" w:hAnsi="Arial" w:cs="Arial"/>
          <w:sz w:val="24"/>
          <w:szCs w:val="24"/>
        </w:rPr>
      </w:pPr>
    </w:p>
    <w:p w14:paraId="688A4DB6" w14:textId="118EECEC" w:rsidR="00EF54AD" w:rsidRDefault="0050360E" w:rsidP="00285A05">
      <w:pPr>
        <w:spacing w:after="0" w:line="240" w:lineRule="auto"/>
        <w:ind w:firstLine="720"/>
        <w:rPr>
          <w:rFonts w:ascii="Arial" w:hAnsi="Arial" w:cs="Arial"/>
          <w:sz w:val="24"/>
          <w:szCs w:val="24"/>
        </w:rPr>
      </w:pPr>
      <w:r>
        <w:rPr>
          <w:rFonts w:ascii="Arial" w:hAnsi="Arial" w:cs="Arial"/>
          <w:sz w:val="24"/>
          <w:szCs w:val="24"/>
        </w:rPr>
        <w:tab/>
      </w:r>
      <w:r w:rsidRPr="00562F49">
        <w:rPr>
          <w:rFonts w:ascii="Arial" w:hAnsi="Arial" w:cs="Arial"/>
          <w:sz w:val="24"/>
          <w:szCs w:val="24"/>
        </w:rPr>
        <w:t xml:space="preserve">National Futures Association (NFA) appreciates the opportunity to comment on </w:t>
      </w:r>
      <w:r>
        <w:rPr>
          <w:rFonts w:ascii="Arial" w:hAnsi="Arial" w:cs="Arial"/>
          <w:sz w:val="24"/>
          <w:szCs w:val="24"/>
        </w:rPr>
        <w:t xml:space="preserve">the Commodity Futures Trading Commission's (CFTC or Commission) proposed amendments </w:t>
      </w:r>
      <w:r w:rsidR="00317C79">
        <w:rPr>
          <w:rFonts w:ascii="Arial" w:hAnsi="Arial" w:cs="Arial"/>
          <w:sz w:val="24"/>
          <w:szCs w:val="24"/>
        </w:rPr>
        <w:t xml:space="preserve">regarding certain requirements related to commodity pools and managed account programs operated by </w:t>
      </w:r>
      <w:r w:rsidR="00691F5F">
        <w:rPr>
          <w:rFonts w:ascii="Arial" w:hAnsi="Arial" w:cs="Arial"/>
          <w:sz w:val="24"/>
          <w:szCs w:val="24"/>
        </w:rPr>
        <w:t xml:space="preserve">registered </w:t>
      </w:r>
      <w:r w:rsidR="00317C79">
        <w:rPr>
          <w:rFonts w:ascii="Arial" w:hAnsi="Arial" w:cs="Arial"/>
          <w:sz w:val="24"/>
          <w:szCs w:val="24"/>
        </w:rPr>
        <w:t xml:space="preserve">commodity pools operators (CPOs) and commodity trading advisors (CTAs) </w:t>
      </w:r>
      <w:r w:rsidR="003B1B5B">
        <w:rPr>
          <w:rFonts w:ascii="Arial" w:hAnsi="Arial" w:cs="Arial"/>
          <w:sz w:val="24"/>
          <w:szCs w:val="24"/>
        </w:rPr>
        <w:t xml:space="preserve">pursuant to </w:t>
      </w:r>
      <w:r w:rsidR="00317C79">
        <w:rPr>
          <w:rFonts w:ascii="Arial" w:hAnsi="Arial" w:cs="Arial"/>
          <w:sz w:val="24"/>
          <w:szCs w:val="24"/>
        </w:rPr>
        <w:t>CFTC Regulation 4.7</w:t>
      </w:r>
      <w:r w:rsidR="003B1B5B">
        <w:rPr>
          <w:rFonts w:ascii="Arial" w:hAnsi="Arial" w:cs="Arial"/>
          <w:sz w:val="24"/>
          <w:szCs w:val="24"/>
        </w:rPr>
        <w:t>'s exemption</w:t>
      </w:r>
      <w:r w:rsidR="00317C79">
        <w:rPr>
          <w:rFonts w:ascii="Arial" w:hAnsi="Arial" w:cs="Arial"/>
          <w:sz w:val="24"/>
          <w:szCs w:val="24"/>
        </w:rPr>
        <w:t xml:space="preserve">.  </w:t>
      </w:r>
      <w:r w:rsidR="00A6509F">
        <w:rPr>
          <w:rFonts w:ascii="Arial" w:hAnsi="Arial" w:cs="Arial"/>
          <w:sz w:val="24"/>
          <w:szCs w:val="24"/>
        </w:rPr>
        <w:t xml:space="preserve">Among other things, the proposed changes </w:t>
      </w:r>
      <w:r w:rsidR="003B1B5B">
        <w:rPr>
          <w:rFonts w:ascii="Arial" w:hAnsi="Arial" w:cs="Arial"/>
          <w:sz w:val="24"/>
          <w:szCs w:val="24"/>
        </w:rPr>
        <w:t xml:space="preserve">to Regulation 4.7 </w:t>
      </w:r>
      <w:r w:rsidR="00A6509F">
        <w:rPr>
          <w:rFonts w:ascii="Arial" w:hAnsi="Arial" w:cs="Arial"/>
          <w:sz w:val="24"/>
          <w:szCs w:val="24"/>
        </w:rPr>
        <w:t xml:space="preserve">would increase the financial thresholds for the </w:t>
      </w:r>
      <w:r w:rsidR="005C7392">
        <w:rPr>
          <w:rFonts w:ascii="Arial" w:hAnsi="Arial" w:cs="Arial"/>
          <w:sz w:val="24"/>
          <w:szCs w:val="24"/>
        </w:rPr>
        <w:t>P</w:t>
      </w:r>
      <w:r w:rsidR="00A6509F">
        <w:rPr>
          <w:rFonts w:ascii="Arial" w:hAnsi="Arial" w:cs="Arial"/>
          <w:sz w:val="24"/>
          <w:szCs w:val="24"/>
        </w:rPr>
        <w:t xml:space="preserve">ortfolio </w:t>
      </w:r>
      <w:r w:rsidR="005C7392">
        <w:rPr>
          <w:rFonts w:ascii="Arial" w:hAnsi="Arial" w:cs="Arial"/>
          <w:sz w:val="24"/>
          <w:szCs w:val="24"/>
        </w:rPr>
        <w:t>R</w:t>
      </w:r>
      <w:r w:rsidR="00A6509F">
        <w:rPr>
          <w:rFonts w:ascii="Arial" w:hAnsi="Arial" w:cs="Arial"/>
          <w:sz w:val="24"/>
          <w:szCs w:val="24"/>
        </w:rPr>
        <w:t xml:space="preserve">equirement in the Qualified Eligible Person (QEP) definition and impose </w:t>
      </w:r>
      <w:r w:rsidR="00D82DCD">
        <w:rPr>
          <w:rFonts w:ascii="Arial" w:hAnsi="Arial" w:cs="Arial"/>
          <w:sz w:val="24"/>
          <w:szCs w:val="24"/>
        </w:rPr>
        <w:t>new</w:t>
      </w:r>
      <w:r w:rsidR="00A6509F">
        <w:rPr>
          <w:rFonts w:ascii="Arial" w:hAnsi="Arial" w:cs="Arial"/>
          <w:sz w:val="24"/>
          <w:szCs w:val="24"/>
        </w:rPr>
        <w:t xml:space="preserve"> disclosure requirements related </w:t>
      </w:r>
      <w:r w:rsidR="00F1571E">
        <w:rPr>
          <w:rFonts w:ascii="Arial" w:hAnsi="Arial" w:cs="Arial"/>
          <w:sz w:val="24"/>
          <w:szCs w:val="24"/>
        </w:rPr>
        <w:t xml:space="preserve">to </w:t>
      </w:r>
      <w:r w:rsidR="00A6509F">
        <w:rPr>
          <w:rFonts w:ascii="Arial" w:hAnsi="Arial" w:cs="Arial"/>
          <w:sz w:val="24"/>
          <w:szCs w:val="24"/>
        </w:rPr>
        <w:t xml:space="preserve">4.7 </w:t>
      </w:r>
      <w:r w:rsidR="003B1B5B">
        <w:rPr>
          <w:rFonts w:ascii="Arial" w:hAnsi="Arial" w:cs="Arial"/>
          <w:sz w:val="24"/>
          <w:szCs w:val="24"/>
        </w:rPr>
        <w:t xml:space="preserve">exempt </w:t>
      </w:r>
      <w:r w:rsidR="00A6509F">
        <w:rPr>
          <w:rFonts w:ascii="Arial" w:hAnsi="Arial" w:cs="Arial"/>
          <w:sz w:val="24"/>
          <w:szCs w:val="24"/>
        </w:rPr>
        <w:t>commodity pool</w:t>
      </w:r>
      <w:r w:rsidR="003B1B5B">
        <w:rPr>
          <w:rFonts w:ascii="Arial" w:hAnsi="Arial" w:cs="Arial"/>
          <w:sz w:val="24"/>
          <w:szCs w:val="24"/>
        </w:rPr>
        <w:t>s</w:t>
      </w:r>
      <w:r w:rsidR="00A6509F">
        <w:rPr>
          <w:rFonts w:ascii="Arial" w:hAnsi="Arial" w:cs="Arial"/>
          <w:sz w:val="24"/>
          <w:szCs w:val="24"/>
        </w:rPr>
        <w:t xml:space="preserve"> </w:t>
      </w:r>
      <w:r w:rsidR="003B1B5B">
        <w:rPr>
          <w:rFonts w:ascii="Arial" w:hAnsi="Arial" w:cs="Arial"/>
          <w:sz w:val="24"/>
          <w:szCs w:val="24"/>
        </w:rPr>
        <w:t>and</w:t>
      </w:r>
      <w:r w:rsidR="00A6509F">
        <w:rPr>
          <w:rFonts w:ascii="Arial" w:hAnsi="Arial" w:cs="Arial"/>
          <w:sz w:val="24"/>
          <w:szCs w:val="24"/>
        </w:rPr>
        <w:t xml:space="preserve"> managed account program</w:t>
      </w:r>
      <w:r w:rsidR="003B1B5B">
        <w:rPr>
          <w:rFonts w:ascii="Arial" w:hAnsi="Arial" w:cs="Arial"/>
          <w:sz w:val="24"/>
          <w:szCs w:val="24"/>
        </w:rPr>
        <w:t>s</w:t>
      </w:r>
      <w:r w:rsidR="00A6509F">
        <w:rPr>
          <w:rFonts w:ascii="Arial" w:hAnsi="Arial" w:cs="Arial"/>
          <w:sz w:val="24"/>
          <w:szCs w:val="24"/>
        </w:rPr>
        <w:t xml:space="preserve">.  Additionally, the proposal would establish a process for CPOs to elect an alternative account statement schedule for certain 4.7 pools, which is consistent with longstanding </w:t>
      </w:r>
      <w:r w:rsidR="003B1B5B">
        <w:rPr>
          <w:rFonts w:ascii="Arial" w:hAnsi="Arial" w:cs="Arial"/>
          <w:sz w:val="24"/>
          <w:szCs w:val="24"/>
        </w:rPr>
        <w:t xml:space="preserve">Commission issued </w:t>
      </w:r>
      <w:r w:rsidR="00A6509F">
        <w:rPr>
          <w:rFonts w:ascii="Arial" w:hAnsi="Arial" w:cs="Arial"/>
          <w:sz w:val="24"/>
          <w:szCs w:val="24"/>
        </w:rPr>
        <w:t>exemptive letters</w:t>
      </w:r>
      <w:r w:rsidR="003B1B5B">
        <w:rPr>
          <w:rFonts w:ascii="Arial" w:hAnsi="Arial" w:cs="Arial"/>
          <w:sz w:val="24"/>
          <w:szCs w:val="24"/>
        </w:rPr>
        <w:t xml:space="preserve">.  </w:t>
      </w:r>
      <w:r w:rsidR="00A6509F">
        <w:rPr>
          <w:rFonts w:ascii="Arial" w:hAnsi="Arial" w:cs="Arial"/>
          <w:sz w:val="24"/>
          <w:szCs w:val="24"/>
        </w:rPr>
        <w:t xml:space="preserve">  </w:t>
      </w:r>
    </w:p>
    <w:p w14:paraId="15AABD2C" w14:textId="77777777" w:rsidR="00EF54AD" w:rsidRDefault="00EF54AD" w:rsidP="00285A05">
      <w:pPr>
        <w:spacing w:after="0" w:line="240" w:lineRule="auto"/>
        <w:ind w:firstLine="720"/>
        <w:rPr>
          <w:rFonts w:ascii="Arial" w:hAnsi="Arial" w:cs="Arial"/>
          <w:sz w:val="24"/>
          <w:szCs w:val="24"/>
        </w:rPr>
      </w:pPr>
    </w:p>
    <w:p w14:paraId="730E0BFD" w14:textId="281EF4FA" w:rsidR="006B7EF6" w:rsidRDefault="006B7EF6" w:rsidP="00D85E42">
      <w:pPr>
        <w:spacing w:after="0" w:line="240" w:lineRule="auto"/>
        <w:ind w:firstLine="1440"/>
        <w:rPr>
          <w:rFonts w:ascii="Arial" w:hAnsi="Arial" w:cs="Arial"/>
          <w:sz w:val="24"/>
          <w:szCs w:val="24"/>
        </w:rPr>
      </w:pPr>
      <w:r>
        <w:rPr>
          <w:rFonts w:ascii="Arial" w:hAnsi="Arial" w:cs="Arial"/>
          <w:sz w:val="24"/>
          <w:szCs w:val="24"/>
        </w:rPr>
        <w:t xml:space="preserve">The Commission's notice of proposed rulemaking </w:t>
      </w:r>
      <w:r w:rsidR="00CC7C2C">
        <w:rPr>
          <w:rFonts w:ascii="Arial" w:hAnsi="Arial" w:cs="Arial"/>
          <w:sz w:val="24"/>
          <w:szCs w:val="24"/>
        </w:rPr>
        <w:t xml:space="preserve">(NPR) </w:t>
      </w:r>
      <w:r>
        <w:rPr>
          <w:rFonts w:ascii="Arial" w:hAnsi="Arial" w:cs="Arial"/>
          <w:sz w:val="24"/>
          <w:szCs w:val="24"/>
        </w:rPr>
        <w:t xml:space="preserve">notes that Regulation 4.7's framework has not been materially reviewed since its adoption in 1992.  </w:t>
      </w:r>
      <w:r w:rsidR="00A6509F">
        <w:rPr>
          <w:rFonts w:ascii="Arial" w:hAnsi="Arial" w:cs="Arial"/>
          <w:sz w:val="24"/>
          <w:szCs w:val="24"/>
        </w:rPr>
        <w:t xml:space="preserve">NFA </w:t>
      </w:r>
      <w:r>
        <w:rPr>
          <w:rFonts w:ascii="Arial" w:hAnsi="Arial" w:cs="Arial"/>
          <w:sz w:val="24"/>
          <w:szCs w:val="24"/>
        </w:rPr>
        <w:t xml:space="preserve">therefore supports </w:t>
      </w:r>
      <w:r w:rsidR="00A6509F">
        <w:rPr>
          <w:rFonts w:ascii="Arial" w:hAnsi="Arial" w:cs="Arial"/>
          <w:sz w:val="24"/>
          <w:szCs w:val="24"/>
        </w:rPr>
        <w:t>the Commission</w:t>
      </w:r>
      <w:r>
        <w:rPr>
          <w:rFonts w:ascii="Arial" w:hAnsi="Arial" w:cs="Arial"/>
          <w:sz w:val="24"/>
          <w:szCs w:val="24"/>
        </w:rPr>
        <w:t xml:space="preserve">'s </w:t>
      </w:r>
      <w:r w:rsidR="00A6509F">
        <w:rPr>
          <w:rFonts w:ascii="Arial" w:hAnsi="Arial" w:cs="Arial"/>
          <w:sz w:val="24"/>
          <w:szCs w:val="24"/>
        </w:rPr>
        <w:t>review</w:t>
      </w:r>
      <w:r>
        <w:rPr>
          <w:rFonts w:ascii="Arial" w:hAnsi="Arial" w:cs="Arial"/>
          <w:sz w:val="24"/>
          <w:szCs w:val="24"/>
        </w:rPr>
        <w:t xml:space="preserve"> of </w:t>
      </w:r>
      <w:r w:rsidR="003D7C9F">
        <w:rPr>
          <w:rFonts w:ascii="Arial" w:hAnsi="Arial" w:cs="Arial"/>
          <w:sz w:val="24"/>
          <w:szCs w:val="24"/>
        </w:rPr>
        <w:t xml:space="preserve">Regulation </w:t>
      </w:r>
      <w:r w:rsidR="00A6509F">
        <w:rPr>
          <w:rFonts w:ascii="Arial" w:hAnsi="Arial" w:cs="Arial"/>
          <w:sz w:val="24"/>
          <w:szCs w:val="24"/>
        </w:rPr>
        <w:t>4.7</w:t>
      </w:r>
      <w:r w:rsidR="003D7C9F">
        <w:rPr>
          <w:rFonts w:ascii="Arial" w:hAnsi="Arial" w:cs="Arial"/>
          <w:sz w:val="24"/>
          <w:szCs w:val="24"/>
        </w:rPr>
        <w:t>'s</w:t>
      </w:r>
      <w:r w:rsidR="00A6509F">
        <w:rPr>
          <w:rFonts w:ascii="Arial" w:hAnsi="Arial" w:cs="Arial"/>
          <w:sz w:val="24"/>
          <w:szCs w:val="24"/>
        </w:rPr>
        <w:t xml:space="preserve"> exempti</w:t>
      </w:r>
      <w:r>
        <w:rPr>
          <w:rFonts w:ascii="Arial" w:hAnsi="Arial" w:cs="Arial"/>
          <w:sz w:val="24"/>
          <w:szCs w:val="24"/>
        </w:rPr>
        <w:t>ve</w:t>
      </w:r>
      <w:r w:rsidR="00A6509F">
        <w:rPr>
          <w:rFonts w:ascii="Arial" w:hAnsi="Arial" w:cs="Arial"/>
          <w:sz w:val="24"/>
          <w:szCs w:val="24"/>
        </w:rPr>
        <w:t xml:space="preserve"> framework to ensure that it remains fit for purpose</w:t>
      </w:r>
      <w:r w:rsidR="00984BA6">
        <w:rPr>
          <w:rFonts w:ascii="Arial" w:hAnsi="Arial" w:cs="Arial"/>
          <w:sz w:val="24"/>
          <w:szCs w:val="24"/>
        </w:rPr>
        <w:t xml:space="preserve"> and continues to provide </w:t>
      </w:r>
      <w:r w:rsidR="003B1B5B">
        <w:rPr>
          <w:rFonts w:ascii="Arial" w:hAnsi="Arial" w:cs="Arial"/>
          <w:sz w:val="24"/>
          <w:szCs w:val="24"/>
        </w:rPr>
        <w:t>appropriate</w:t>
      </w:r>
      <w:r w:rsidR="00984BA6">
        <w:rPr>
          <w:rFonts w:ascii="Arial" w:hAnsi="Arial" w:cs="Arial"/>
          <w:sz w:val="24"/>
          <w:szCs w:val="24"/>
        </w:rPr>
        <w:t xml:space="preserve"> customer protection</w:t>
      </w:r>
      <w:r w:rsidR="003B1B5B">
        <w:rPr>
          <w:rFonts w:ascii="Arial" w:hAnsi="Arial" w:cs="Arial"/>
          <w:sz w:val="24"/>
          <w:szCs w:val="24"/>
        </w:rPr>
        <w:t>s</w:t>
      </w:r>
      <w:r w:rsidR="00984BA6">
        <w:rPr>
          <w:rFonts w:ascii="Arial" w:hAnsi="Arial" w:cs="Arial"/>
          <w:sz w:val="24"/>
          <w:szCs w:val="24"/>
        </w:rPr>
        <w:t xml:space="preserve">.  </w:t>
      </w:r>
      <w:r w:rsidR="00EF54AD">
        <w:rPr>
          <w:rFonts w:ascii="Arial" w:hAnsi="Arial" w:cs="Arial"/>
          <w:sz w:val="24"/>
          <w:szCs w:val="24"/>
        </w:rPr>
        <w:t xml:space="preserve">As the Commission notes in the preamble to </w:t>
      </w:r>
      <w:r w:rsidR="003B1B5B">
        <w:rPr>
          <w:rFonts w:ascii="Arial" w:hAnsi="Arial" w:cs="Arial"/>
          <w:sz w:val="24"/>
          <w:szCs w:val="24"/>
        </w:rPr>
        <w:t>its</w:t>
      </w:r>
      <w:r w:rsidR="00EF54AD">
        <w:rPr>
          <w:rFonts w:ascii="Arial" w:hAnsi="Arial" w:cs="Arial"/>
          <w:sz w:val="24"/>
          <w:szCs w:val="24"/>
        </w:rPr>
        <w:t xml:space="preserve"> proposed changes, the </w:t>
      </w:r>
      <w:r w:rsidR="003B1B5B">
        <w:rPr>
          <w:rFonts w:ascii="Arial" w:hAnsi="Arial" w:cs="Arial"/>
          <w:sz w:val="24"/>
          <w:szCs w:val="24"/>
        </w:rPr>
        <w:t xml:space="preserve">4.7 </w:t>
      </w:r>
      <w:r w:rsidR="00EF54AD">
        <w:rPr>
          <w:rFonts w:ascii="Arial" w:hAnsi="Arial" w:cs="Arial"/>
          <w:sz w:val="24"/>
          <w:szCs w:val="24"/>
        </w:rPr>
        <w:t xml:space="preserve">exemption </w:t>
      </w:r>
      <w:r w:rsidR="003B1B5B">
        <w:rPr>
          <w:rFonts w:ascii="Arial" w:hAnsi="Arial" w:cs="Arial"/>
          <w:sz w:val="24"/>
          <w:szCs w:val="24"/>
        </w:rPr>
        <w:t xml:space="preserve">afforded to registered CPOs and CTAs </w:t>
      </w:r>
      <w:r w:rsidR="00EF54AD">
        <w:rPr>
          <w:rFonts w:ascii="Arial" w:hAnsi="Arial" w:cs="Arial"/>
          <w:sz w:val="24"/>
          <w:szCs w:val="24"/>
        </w:rPr>
        <w:t>for commodity pools and managed account programs offered to QEPs is widely used.</w:t>
      </w:r>
      <w:r w:rsidR="00CB3321">
        <w:rPr>
          <w:rFonts w:ascii="Arial" w:hAnsi="Arial" w:cs="Arial"/>
          <w:sz w:val="24"/>
          <w:szCs w:val="24"/>
        </w:rPr>
        <w:t xml:space="preserve">  </w:t>
      </w:r>
    </w:p>
    <w:p w14:paraId="751E4785" w14:textId="77777777" w:rsidR="006B7EF6" w:rsidRDefault="006B7EF6" w:rsidP="00D85E42">
      <w:pPr>
        <w:spacing w:after="0" w:line="240" w:lineRule="auto"/>
        <w:ind w:firstLine="1440"/>
        <w:rPr>
          <w:rFonts w:ascii="Arial" w:hAnsi="Arial" w:cs="Arial"/>
          <w:sz w:val="24"/>
          <w:szCs w:val="24"/>
        </w:rPr>
      </w:pPr>
    </w:p>
    <w:p w14:paraId="4AD28A1F" w14:textId="10B0419D" w:rsidR="00DA63C8" w:rsidRDefault="003D7C9F" w:rsidP="00D85E42">
      <w:pPr>
        <w:spacing w:after="0" w:line="240" w:lineRule="auto"/>
        <w:ind w:firstLine="1440"/>
        <w:rPr>
          <w:rFonts w:ascii="Arial" w:hAnsi="Arial" w:cs="Arial"/>
          <w:sz w:val="24"/>
          <w:szCs w:val="24"/>
        </w:rPr>
      </w:pPr>
      <w:r>
        <w:rPr>
          <w:rFonts w:ascii="Arial" w:hAnsi="Arial" w:cs="Arial"/>
          <w:sz w:val="24"/>
          <w:szCs w:val="24"/>
        </w:rPr>
        <w:t xml:space="preserve">In reviewing the Commission's proposed changes to the Portfolio Requirement's thresholds within the QEP definition and the disclosure requirements, NFA believes that they may significantly alter the current regulatory structure </w:t>
      </w:r>
      <w:r w:rsidR="00195452">
        <w:rPr>
          <w:rFonts w:ascii="Arial" w:hAnsi="Arial" w:cs="Arial"/>
          <w:sz w:val="24"/>
          <w:szCs w:val="24"/>
        </w:rPr>
        <w:t xml:space="preserve">applicable to </w:t>
      </w:r>
      <w:r>
        <w:rPr>
          <w:rFonts w:ascii="Arial" w:hAnsi="Arial" w:cs="Arial"/>
          <w:sz w:val="24"/>
          <w:szCs w:val="24"/>
        </w:rPr>
        <w:t>Regulation 4.7 exempt pools and managed account programs.  W</w:t>
      </w:r>
      <w:r w:rsidR="006B7EF6">
        <w:rPr>
          <w:rFonts w:ascii="Arial" w:hAnsi="Arial" w:cs="Arial"/>
          <w:sz w:val="24"/>
          <w:szCs w:val="24"/>
        </w:rPr>
        <w:t xml:space="preserve">hile </w:t>
      </w:r>
      <w:r w:rsidR="00195452">
        <w:rPr>
          <w:rFonts w:ascii="Arial" w:hAnsi="Arial" w:cs="Arial"/>
          <w:sz w:val="24"/>
          <w:szCs w:val="24"/>
        </w:rPr>
        <w:t xml:space="preserve">CPOs and CTAs operating </w:t>
      </w:r>
      <w:r w:rsidR="006B7EF6">
        <w:rPr>
          <w:rFonts w:ascii="Arial" w:hAnsi="Arial" w:cs="Arial"/>
          <w:sz w:val="24"/>
          <w:szCs w:val="24"/>
        </w:rPr>
        <w:t xml:space="preserve">4.7 exempt pools and managed account programs have not been </w:t>
      </w:r>
      <w:r>
        <w:rPr>
          <w:rFonts w:ascii="Arial" w:hAnsi="Arial" w:cs="Arial"/>
          <w:sz w:val="24"/>
          <w:szCs w:val="24"/>
        </w:rPr>
        <w:t xml:space="preserve">entirely </w:t>
      </w:r>
      <w:r w:rsidR="00037C49">
        <w:rPr>
          <w:rFonts w:ascii="Arial" w:hAnsi="Arial" w:cs="Arial"/>
          <w:sz w:val="24"/>
          <w:szCs w:val="24"/>
        </w:rPr>
        <w:t>without regulatory issues</w:t>
      </w:r>
      <w:r w:rsidR="006B7EF6">
        <w:rPr>
          <w:rFonts w:ascii="Arial" w:hAnsi="Arial" w:cs="Arial"/>
          <w:sz w:val="24"/>
          <w:szCs w:val="24"/>
        </w:rPr>
        <w:t xml:space="preserve"> over the past thirty years, they also have not been a </w:t>
      </w:r>
      <w:r w:rsidR="006B7EF6">
        <w:rPr>
          <w:rFonts w:ascii="Arial" w:hAnsi="Arial" w:cs="Arial"/>
          <w:sz w:val="24"/>
          <w:szCs w:val="24"/>
        </w:rPr>
        <w:lastRenderedPageBreak/>
        <w:t xml:space="preserve">significant regulatory </w:t>
      </w:r>
      <w:r w:rsidR="00037C49">
        <w:rPr>
          <w:rFonts w:ascii="Arial" w:hAnsi="Arial" w:cs="Arial"/>
          <w:sz w:val="24"/>
          <w:szCs w:val="24"/>
        </w:rPr>
        <w:t>problem</w:t>
      </w:r>
      <w:r w:rsidR="006B7EF6">
        <w:rPr>
          <w:rFonts w:ascii="Arial" w:hAnsi="Arial" w:cs="Arial"/>
          <w:sz w:val="24"/>
          <w:szCs w:val="24"/>
        </w:rPr>
        <w:t xml:space="preserve"> </w:t>
      </w:r>
      <w:r w:rsidR="00D9432A">
        <w:rPr>
          <w:rFonts w:ascii="Arial" w:hAnsi="Arial" w:cs="Arial"/>
          <w:sz w:val="24"/>
          <w:szCs w:val="24"/>
        </w:rPr>
        <w:t>considering</w:t>
      </w:r>
      <w:r w:rsidR="00DA4BD6">
        <w:rPr>
          <w:rFonts w:ascii="Arial" w:hAnsi="Arial" w:cs="Arial"/>
          <w:sz w:val="24"/>
          <w:szCs w:val="24"/>
        </w:rPr>
        <w:t xml:space="preserve"> </w:t>
      </w:r>
      <w:r w:rsidR="006B7EF6">
        <w:rPr>
          <w:rFonts w:ascii="Arial" w:hAnsi="Arial" w:cs="Arial"/>
          <w:sz w:val="24"/>
          <w:szCs w:val="24"/>
        </w:rPr>
        <w:t>the substantial number of CPOs and CTAs offering the</w:t>
      </w:r>
      <w:r>
        <w:rPr>
          <w:rFonts w:ascii="Arial" w:hAnsi="Arial" w:cs="Arial"/>
          <w:sz w:val="24"/>
          <w:szCs w:val="24"/>
        </w:rPr>
        <w:t>se</w:t>
      </w:r>
      <w:r w:rsidR="006B7EF6">
        <w:rPr>
          <w:rFonts w:ascii="Arial" w:hAnsi="Arial" w:cs="Arial"/>
          <w:sz w:val="24"/>
          <w:szCs w:val="24"/>
        </w:rPr>
        <w:t xml:space="preserve"> exempt pools and managed account programs</w:t>
      </w:r>
      <w:r>
        <w:rPr>
          <w:rFonts w:ascii="Arial" w:hAnsi="Arial" w:cs="Arial"/>
          <w:sz w:val="24"/>
          <w:szCs w:val="24"/>
        </w:rPr>
        <w:t xml:space="preserve">, which combined number in the thousands.  </w:t>
      </w:r>
      <w:r w:rsidRPr="00F26D3E">
        <w:rPr>
          <w:rFonts w:ascii="Arial" w:hAnsi="Arial" w:cs="Arial"/>
          <w:sz w:val="24"/>
          <w:szCs w:val="24"/>
        </w:rPr>
        <w:t xml:space="preserve">Therefore, NFA </w:t>
      </w:r>
      <w:r>
        <w:rPr>
          <w:rFonts w:ascii="Arial" w:hAnsi="Arial" w:cs="Arial"/>
          <w:sz w:val="24"/>
          <w:szCs w:val="24"/>
        </w:rPr>
        <w:t xml:space="preserve">strongly </w:t>
      </w:r>
      <w:r w:rsidRPr="00F26D3E">
        <w:rPr>
          <w:rFonts w:ascii="Arial" w:hAnsi="Arial" w:cs="Arial"/>
          <w:sz w:val="24"/>
          <w:szCs w:val="24"/>
        </w:rPr>
        <w:t>encourages the Commission to carefully</w:t>
      </w:r>
      <w:r>
        <w:rPr>
          <w:rFonts w:ascii="Arial" w:hAnsi="Arial" w:cs="Arial"/>
          <w:sz w:val="24"/>
          <w:szCs w:val="24"/>
        </w:rPr>
        <w:t xml:space="preserve"> consider industry and investor comments as to whether the proposed changes are necessary to address a material regulatory problem.         </w:t>
      </w:r>
      <w:r w:rsidR="006B7EF6">
        <w:rPr>
          <w:rFonts w:ascii="Arial" w:hAnsi="Arial" w:cs="Arial"/>
          <w:sz w:val="24"/>
          <w:szCs w:val="24"/>
        </w:rPr>
        <w:t xml:space="preserve">  </w:t>
      </w:r>
    </w:p>
    <w:p w14:paraId="2C87D5D4" w14:textId="77777777" w:rsidR="00DA63C8" w:rsidRDefault="00DA63C8" w:rsidP="00D85E42">
      <w:pPr>
        <w:spacing w:after="0" w:line="240" w:lineRule="auto"/>
        <w:ind w:firstLine="1440"/>
        <w:rPr>
          <w:rFonts w:ascii="Arial" w:hAnsi="Arial" w:cs="Arial"/>
          <w:sz w:val="24"/>
          <w:szCs w:val="24"/>
        </w:rPr>
      </w:pPr>
    </w:p>
    <w:p w14:paraId="30E7B1CB" w14:textId="5D67458F" w:rsidR="00E32F10" w:rsidRDefault="003D7C9F" w:rsidP="00D85E42">
      <w:pPr>
        <w:spacing w:after="0" w:line="240" w:lineRule="auto"/>
        <w:ind w:firstLine="1440"/>
        <w:rPr>
          <w:rFonts w:ascii="Arial" w:hAnsi="Arial" w:cs="Arial"/>
          <w:sz w:val="24"/>
          <w:szCs w:val="24"/>
        </w:rPr>
      </w:pPr>
      <w:r>
        <w:rPr>
          <w:rFonts w:ascii="Arial" w:hAnsi="Arial" w:cs="Arial"/>
          <w:sz w:val="24"/>
          <w:szCs w:val="24"/>
        </w:rPr>
        <w:t>As noted above, NFA supports the Commission's review of Regulation 4.7's exemptive framework to ensure that appropriate protections are in place</w:t>
      </w:r>
      <w:r w:rsidR="00DA4BD6">
        <w:rPr>
          <w:rFonts w:ascii="Arial" w:hAnsi="Arial" w:cs="Arial"/>
          <w:sz w:val="24"/>
          <w:szCs w:val="24"/>
        </w:rPr>
        <w:t xml:space="preserve"> for these offerings' institutional and sophisticated customers.  We have concerns, however, regarding the methodology used to </w:t>
      </w:r>
      <w:r w:rsidR="00D9432A">
        <w:rPr>
          <w:rFonts w:ascii="Arial" w:hAnsi="Arial" w:cs="Arial"/>
          <w:sz w:val="24"/>
          <w:szCs w:val="24"/>
        </w:rPr>
        <w:t xml:space="preserve">raise the </w:t>
      </w:r>
      <w:r w:rsidR="00071600">
        <w:rPr>
          <w:rFonts w:ascii="Arial" w:hAnsi="Arial" w:cs="Arial"/>
          <w:sz w:val="24"/>
          <w:szCs w:val="24"/>
        </w:rPr>
        <w:t xml:space="preserve">Portfolio Requirement's </w:t>
      </w:r>
      <w:r w:rsidR="00D9432A">
        <w:rPr>
          <w:rFonts w:ascii="Arial" w:hAnsi="Arial" w:cs="Arial"/>
          <w:sz w:val="24"/>
          <w:szCs w:val="24"/>
        </w:rPr>
        <w:t xml:space="preserve">financial standards required for </w:t>
      </w:r>
      <w:r w:rsidR="00195452">
        <w:rPr>
          <w:rFonts w:ascii="Arial" w:hAnsi="Arial" w:cs="Arial"/>
          <w:sz w:val="24"/>
          <w:szCs w:val="24"/>
        </w:rPr>
        <w:t xml:space="preserve">certain persons, including natural persons, </w:t>
      </w:r>
      <w:r w:rsidR="00D9432A">
        <w:rPr>
          <w:rFonts w:ascii="Arial" w:hAnsi="Arial" w:cs="Arial"/>
          <w:sz w:val="24"/>
          <w:szCs w:val="24"/>
        </w:rPr>
        <w:t xml:space="preserve">to meet the </w:t>
      </w:r>
      <w:r w:rsidR="00DA4BD6">
        <w:rPr>
          <w:rFonts w:ascii="Arial" w:hAnsi="Arial" w:cs="Arial"/>
          <w:sz w:val="24"/>
          <w:szCs w:val="24"/>
        </w:rPr>
        <w:t xml:space="preserve">QEP definition in the future and the impact of the proposed prescriptive disclosure requirements on </w:t>
      </w:r>
      <w:r w:rsidR="00691F5F">
        <w:rPr>
          <w:rFonts w:ascii="Arial" w:hAnsi="Arial" w:cs="Arial"/>
          <w:sz w:val="24"/>
          <w:szCs w:val="24"/>
        </w:rPr>
        <w:t>the</w:t>
      </w:r>
      <w:r w:rsidR="00DA63C8">
        <w:rPr>
          <w:rFonts w:ascii="Arial" w:hAnsi="Arial" w:cs="Arial"/>
          <w:sz w:val="24"/>
          <w:szCs w:val="24"/>
        </w:rPr>
        <w:t xml:space="preserve">se pools' and programs' </w:t>
      </w:r>
      <w:r w:rsidR="00095B72">
        <w:rPr>
          <w:rFonts w:ascii="Arial" w:hAnsi="Arial" w:cs="Arial"/>
          <w:sz w:val="24"/>
          <w:szCs w:val="24"/>
        </w:rPr>
        <w:t xml:space="preserve">operating costs, </w:t>
      </w:r>
      <w:r w:rsidR="00691F5F">
        <w:rPr>
          <w:rFonts w:ascii="Arial" w:hAnsi="Arial" w:cs="Arial"/>
          <w:sz w:val="24"/>
          <w:szCs w:val="24"/>
        </w:rPr>
        <w:t xml:space="preserve">which may be passed on </w:t>
      </w:r>
      <w:r w:rsidR="00DA4BD6">
        <w:rPr>
          <w:rFonts w:ascii="Arial" w:hAnsi="Arial" w:cs="Arial"/>
          <w:sz w:val="24"/>
          <w:szCs w:val="24"/>
        </w:rPr>
        <w:t xml:space="preserve">ultimately </w:t>
      </w:r>
      <w:r w:rsidR="00691F5F">
        <w:rPr>
          <w:rFonts w:ascii="Arial" w:hAnsi="Arial" w:cs="Arial"/>
          <w:sz w:val="24"/>
          <w:szCs w:val="24"/>
        </w:rPr>
        <w:t>to the</w:t>
      </w:r>
      <w:r w:rsidR="00095B72">
        <w:rPr>
          <w:rFonts w:ascii="Arial" w:hAnsi="Arial" w:cs="Arial"/>
          <w:sz w:val="24"/>
          <w:szCs w:val="24"/>
        </w:rPr>
        <w:t>ir</w:t>
      </w:r>
      <w:r w:rsidR="00691F5F">
        <w:rPr>
          <w:rFonts w:ascii="Arial" w:hAnsi="Arial" w:cs="Arial"/>
          <w:sz w:val="24"/>
          <w:szCs w:val="24"/>
        </w:rPr>
        <w:t xml:space="preserve"> participants</w:t>
      </w:r>
      <w:r w:rsidR="00F41BCE">
        <w:rPr>
          <w:rFonts w:ascii="Arial" w:hAnsi="Arial" w:cs="Arial"/>
          <w:sz w:val="24"/>
          <w:szCs w:val="24"/>
        </w:rPr>
        <w:t xml:space="preserve"> and clients.  </w:t>
      </w:r>
      <w:r w:rsidR="00B048DE">
        <w:rPr>
          <w:rFonts w:ascii="Arial" w:hAnsi="Arial" w:cs="Arial"/>
          <w:sz w:val="24"/>
          <w:szCs w:val="24"/>
        </w:rPr>
        <w:t xml:space="preserve">Further, those investors that do not meet the QEP requirements will have fewer investment choices going forward.   </w:t>
      </w:r>
    </w:p>
    <w:p w14:paraId="601966C5" w14:textId="49886BAF" w:rsidR="00D85E42" w:rsidRDefault="00D85E42" w:rsidP="00D85E42">
      <w:pPr>
        <w:spacing w:after="0" w:line="240" w:lineRule="auto"/>
        <w:ind w:firstLine="1440"/>
        <w:rPr>
          <w:rFonts w:ascii="Arial" w:hAnsi="Arial" w:cs="Arial"/>
          <w:sz w:val="24"/>
          <w:szCs w:val="24"/>
        </w:rPr>
      </w:pPr>
    </w:p>
    <w:p w14:paraId="4A75894A" w14:textId="1358B5AB" w:rsidR="00CC7C2C" w:rsidRDefault="00DA4BD6" w:rsidP="00A3089C">
      <w:pPr>
        <w:spacing w:after="0" w:line="240" w:lineRule="auto"/>
        <w:ind w:firstLine="1440"/>
        <w:rPr>
          <w:rFonts w:ascii="Arial" w:hAnsi="Arial" w:cs="Arial"/>
          <w:sz w:val="24"/>
          <w:szCs w:val="24"/>
        </w:rPr>
      </w:pPr>
      <w:r w:rsidRPr="00DA4BD6">
        <w:rPr>
          <w:rFonts w:ascii="Arial" w:hAnsi="Arial" w:cs="Arial"/>
          <w:i/>
          <w:iCs/>
          <w:sz w:val="24"/>
          <w:szCs w:val="24"/>
        </w:rPr>
        <w:t>The QEP Definition</w:t>
      </w:r>
      <w:r>
        <w:rPr>
          <w:rFonts w:ascii="Arial" w:hAnsi="Arial" w:cs="Arial"/>
          <w:sz w:val="24"/>
          <w:szCs w:val="24"/>
        </w:rPr>
        <w:t xml:space="preserve">.  </w:t>
      </w:r>
      <w:r w:rsidR="00A3089C">
        <w:rPr>
          <w:rFonts w:ascii="Arial" w:hAnsi="Arial" w:cs="Arial"/>
          <w:sz w:val="24"/>
          <w:szCs w:val="24"/>
        </w:rPr>
        <w:t xml:space="preserve">NFA </w:t>
      </w:r>
      <w:r w:rsidR="00CC7C2C">
        <w:rPr>
          <w:rFonts w:ascii="Arial" w:hAnsi="Arial" w:cs="Arial"/>
          <w:sz w:val="24"/>
          <w:szCs w:val="24"/>
        </w:rPr>
        <w:t xml:space="preserve">recognizes that the financial thresholds </w:t>
      </w:r>
      <w:r w:rsidR="00D9432A">
        <w:rPr>
          <w:rFonts w:ascii="Arial" w:hAnsi="Arial" w:cs="Arial"/>
          <w:sz w:val="24"/>
          <w:szCs w:val="24"/>
        </w:rPr>
        <w:t xml:space="preserve">required for persons </w:t>
      </w:r>
      <w:r w:rsidR="00CC7C2C">
        <w:rPr>
          <w:rFonts w:ascii="Arial" w:hAnsi="Arial" w:cs="Arial"/>
          <w:sz w:val="24"/>
          <w:szCs w:val="24"/>
        </w:rPr>
        <w:t>to meet the QEP definition</w:t>
      </w:r>
      <w:r w:rsidR="00195452">
        <w:rPr>
          <w:rFonts w:ascii="Arial" w:hAnsi="Arial" w:cs="Arial"/>
          <w:sz w:val="24"/>
          <w:szCs w:val="24"/>
        </w:rPr>
        <w:t xml:space="preserve"> </w:t>
      </w:r>
      <w:r w:rsidR="00CC7C2C">
        <w:rPr>
          <w:rFonts w:ascii="Arial" w:hAnsi="Arial" w:cs="Arial"/>
          <w:sz w:val="24"/>
          <w:szCs w:val="24"/>
        </w:rPr>
        <w:t xml:space="preserve">has remained unchanged since 1992.  NFA therefore supports reviewing these thresholds </w:t>
      </w:r>
      <w:r w:rsidR="00071600">
        <w:rPr>
          <w:rFonts w:ascii="Arial" w:hAnsi="Arial" w:cs="Arial"/>
          <w:sz w:val="24"/>
          <w:szCs w:val="24"/>
        </w:rPr>
        <w:t xml:space="preserve">to determine if they remain appropriate.  </w:t>
      </w:r>
      <w:r w:rsidR="00CC7C2C">
        <w:rPr>
          <w:rFonts w:ascii="Arial" w:hAnsi="Arial" w:cs="Arial"/>
          <w:sz w:val="24"/>
          <w:szCs w:val="24"/>
        </w:rPr>
        <w:t xml:space="preserve"> NFA strongly recommends</w:t>
      </w:r>
      <w:r w:rsidR="00D9432A">
        <w:rPr>
          <w:rFonts w:ascii="Arial" w:hAnsi="Arial" w:cs="Arial"/>
          <w:sz w:val="24"/>
          <w:szCs w:val="24"/>
        </w:rPr>
        <w:t>, however, that the Commission ut</w:t>
      </w:r>
      <w:r w:rsidR="00D70103">
        <w:rPr>
          <w:rFonts w:ascii="Arial" w:hAnsi="Arial" w:cs="Arial"/>
          <w:sz w:val="24"/>
          <w:szCs w:val="24"/>
        </w:rPr>
        <w:t>i</w:t>
      </w:r>
      <w:r w:rsidR="00D9432A">
        <w:rPr>
          <w:rFonts w:ascii="Arial" w:hAnsi="Arial" w:cs="Arial"/>
          <w:sz w:val="24"/>
          <w:szCs w:val="24"/>
        </w:rPr>
        <w:t>lize</w:t>
      </w:r>
      <w:r w:rsidR="00CC7C2C">
        <w:rPr>
          <w:rFonts w:ascii="Arial" w:hAnsi="Arial" w:cs="Arial"/>
          <w:sz w:val="24"/>
          <w:szCs w:val="24"/>
        </w:rPr>
        <w:t xml:space="preserve"> a </w:t>
      </w:r>
      <w:r w:rsidR="00D70103">
        <w:rPr>
          <w:rFonts w:ascii="Arial" w:hAnsi="Arial" w:cs="Arial"/>
          <w:sz w:val="24"/>
          <w:szCs w:val="24"/>
        </w:rPr>
        <w:t xml:space="preserve">slightly </w:t>
      </w:r>
      <w:r w:rsidR="00CC7C2C">
        <w:rPr>
          <w:rFonts w:ascii="Arial" w:hAnsi="Arial" w:cs="Arial"/>
          <w:sz w:val="24"/>
          <w:szCs w:val="24"/>
        </w:rPr>
        <w:t xml:space="preserve">different methodology to do so, which we believe is </w:t>
      </w:r>
      <w:r w:rsidR="00FB410C">
        <w:rPr>
          <w:rFonts w:ascii="Arial" w:hAnsi="Arial" w:cs="Arial"/>
          <w:sz w:val="24"/>
          <w:szCs w:val="24"/>
        </w:rPr>
        <w:t>more consistent with the</w:t>
      </w:r>
      <w:r w:rsidR="00CC7C2C">
        <w:rPr>
          <w:rFonts w:ascii="Arial" w:hAnsi="Arial" w:cs="Arial"/>
          <w:sz w:val="24"/>
          <w:szCs w:val="24"/>
        </w:rPr>
        <w:t xml:space="preserve"> Commission's original rationale for adopting </w:t>
      </w:r>
      <w:r w:rsidR="00D70103">
        <w:rPr>
          <w:rFonts w:ascii="Arial" w:hAnsi="Arial" w:cs="Arial"/>
          <w:sz w:val="24"/>
          <w:szCs w:val="24"/>
        </w:rPr>
        <w:t xml:space="preserve">Regulation 4.7's qualification requirements.  </w:t>
      </w:r>
    </w:p>
    <w:p w14:paraId="74D9C103" w14:textId="77777777" w:rsidR="00CC7C2C" w:rsidRDefault="00CC7C2C" w:rsidP="00A3089C">
      <w:pPr>
        <w:spacing w:after="0" w:line="240" w:lineRule="auto"/>
        <w:ind w:firstLine="1440"/>
        <w:rPr>
          <w:rFonts w:ascii="Arial" w:hAnsi="Arial" w:cs="Arial"/>
          <w:sz w:val="24"/>
          <w:szCs w:val="24"/>
        </w:rPr>
      </w:pPr>
    </w:p>
    <w:p w14:paraId="1B9EDF59" w14:textId="28690599" w:rsidR="003E237B" w:rsidRDefault="00CC7C2C" w:rsidP="00A3089C">
      <w:pPr>
        <w:spacing w:after="0" w:line="240" w:lineRule="auto"/>
        <w:ind w:firstLine="1440"/>
        <w:rPr>
          <w:rFonts w:ascii="Arial" w:hAnsi="Arial" w:cs="Arial"/>
          <w:sz w:val="24"/>
          <w:szCs w:val="24"/>
        </w:rPr>
      </w:pPr>
      <w:r>
        <w:rPr>
          <w:rFonts w:ascii="Arial" w:hAnsi="Arial" w:cs="Arial"/>
          <w:sz w:val="24"/>
          <w:szCs w:val="24"/>
        </w:rPr>
        <w:t xml:space="preserve">Specifically, as </w:t>
      </w:r>
      <w:r w:rsidR="00E84CC4">
        <w:rPr>
          <w:rFonts w:ascii="Arial" w:hAnsi="Arial" w:cs="Arial"/>
          <w:sz w:val="24"/>
          <w:szCs w:val="24"/>
        </w:rPr>
        <w:t>the Commission</w:t>
      </w:r>
      <w:r>
        <w:rPr>
          <w:rFonts w:ascii="Arial" w:hAnsi="Arial" w:cs="Arial"/>
          <w:sz w:val="24"/>
          <w:szCs w:val="24"/>
        </w:rPr>
        <w:t xml:space="preserve"> </w:t>
      </w:r>
      <w:r w:rsidR="00E84CC4">
        <w:rPr>
          <w:rFonts w:ascii="Arial" w:hAnsi="Arial" w:cs="Arial"/>
          <w:sz w:val="24"/>
          <w:szCs w:val="24"/>
        </w:rPr>
        <w:t xml:space="preserve">notes in the </w:t>
      </w:r>
      <w:r>
        <w:rPr>
          <w:rFonts w:ascii="Arial" w:hAnsi="Arial" w:cs="Arial"/>
          <w:sz w:val="24"/>
          <w:szCs w:val="24"/>
        </w:rPr>
        <w:t xml:space="preserve">current release's </w:t>
      </w:r>
      <w:r w:rsidR="00E84CC4">
        <w:rPr>
          <w:rFonts w:ascii="Arial" w:hAnsi="Arial" w:cs="Arial"/>
          <w:sz w:val="24"/>
          <w:szCs w:val="24"/>
        </w:rPr>
        <w:t xml:space="preserve">preamble, </w:t>
      </w:r>
      <w:r w:rsidR="00FB410C">
        <w:rPr>
          <w:rFonts w:ascii="Arial" w:hAnsi="Arial" w:cs="Arial"/>
          <w:sz w:val="24"/>
          <w:szCs w:val="24"/>
        </w:rPr>
        <w:t>in 1992 the Commission adopted a definition for QEP</w:t>
      </w:r>
      <w:r w:rsidR="00D70103">
        <w:rPr>
          <w:rFonts w:ascii="Arial" w:hAnsi="Arial" w:cs="Arial"/>
          <w:sz w:val="24"/>
          <w:szCs w:val="24"/>
        </w:rPr>
        <w:t xml:space="preserve">s </w:t>
      </w:r>
      <w:r w:rsidR="00FB410C">
        <w:rPr>
          <w:rFonts w:ascii="Arial" w:hAnsi="Arial" w:cs="Arial"/>
          <w:sz w:val="24"/>
          <w:szCs w:val="24"/>
        </w:rPr>
        <w:t xml:space="preserve">that was designed to generally include persons who qualify as accredited investors under SEC Regulation D </w:t>
      </w:r>
      <w:r w:rsidR="00195452">
        <w:rPr>
          <w:rFonts w:ascii="Arial" w:hAnsi="Arial" w:cs="Arial"/>
          <w:sz w:val="24"/>
          <w:szCs w:val="24"/>
        </w:rPr>
        <w:t xml:space="preserve">applicable to private securities offerings exempt from registration under the Securities Act.  Additionally, </w:t>
      </w:r>
      <w:r w:rsidR="00D70103">
        <w:rPr>
          <w:rFonts w:ascii="Arial" w:hAnsi="Arial" w:cs="Arial"/>
          <w:sz w:val="24"/>
          <w:szCs w:val="24"/>
        </w:rPr>
        <w:t>the Commission required certain persons</w:t>
      </w:r>
      <w:r w:rsidR="00D70103">
        <w:rPr>
          <w:rStyle w:val="FootnoteReference"/>
          <w:rFonts w:ascii="Arial" w:hAnsi="Arial" w:cs="Arial"/>
          <w:sz w:val="24"/>
          <w:szCs w:val="24"/>
        </w:rPr>
        <w:footnoteReference w:id="1"/>
      </w:r>
      <w:r w:rsidR="00D70103">
        <w:rPr>
          <w:rFonts w:ascii="Arial" w:hAnsi="Arial" w:cs="Arial"/>
          <w:sz w:val="24"/>
          <w:szCs w:val="24"/>
        </w:rPr>
        <w:t>, including natural persons, to</w:t>
      </w:r>
      <w:r w:rsidR="00195452">
        <w:rPr>
          <w:rFonts w:ascii="Arial" w:hAnsi="Arial" w:cs="Arial"/>
          <w:sz w:val="24"/>
          <w:szCs w:val="24"/>
        </w:rPr>
        <w:t xml:space="preserve"> </w:t>
      </w:r>
      <w:r w:rsidR="00D70103">
        <w:rPr>
          <w:rFonts w:ascii="Arial" w:hAnsi="Arial" w:cs="Arial"/>
          <w:sz w:val="24"/>
          <w:szCs w:val="24"/>
        </w:rPr>
        <w:t>satisfy</w:t>
      </w:r>
      <w:r w:rsidR="00B61D79">
        <w:rPr>
          <w:rFonts w:ascii="Arial" w:hAnsi="Arial" w:cs="Arial"/>
          <w:sz w:val="24"/>
          <w:szCs w:val="24"/>
        </w:rPr>
        <w:t xml:space="preserve"> </w:t>
      </w:r>
      <w:r w:rsidR="00D70103">
        <w:rPr>
          <w:rFonts w:ascii="Arial" w:hAnsi="Arial" w:cs="Arial"/>
          <w:sz w:val="24"/>
          <w:szCs w:val="24"/>
        </w:rPr>
        <w:t xml:space="preserve">additional </w:t>
      </w:r>
      <w:r w:rsidR="00B61D79">
        <w:rPr>
          <w:rFonts w:ascii="Arial" w:hAnsi="Arial" w:cs="Arial"/>
          <w:sz w:val="24"/>
          <w:szCs w:val="24"/>
        </w:rPr>
        <w:t>financial qualification requirement</w:t>
      </w:r>
      <w:r w:rsidR="00D70103">
        <w:rPr>
          <w:rFonts w:ascii="Arial" w:hAnsi="Arial" w:cs="Arial"/>
          <w:sz w:val="24"/>
          <w:szCs w:val="24"/>
        </w:rPr>
        <w:t xml:space="preserve">s—referred </w:t>
      </w:r>
      <w:r w:rsidR="00B61D79">
        <w:rPr>
          <w:rFonts w:ascii="Arial" w:hAnsi="Arial" w:cs="Arial"/>
          <w:sz w:val="24"/>
          <w:szCs w:val="24"/>
        </w:rPr>
        <w:t>to as the Portfolio Requiremen</w:t>
      </w:r>
      <w:r w:rsidR="00D70103">
        <w:rPr>
          <w:rFonts w:ascii="Arial" w:hAnsi="Arial" w:cs="Arial"/>
          <w:sz w:val="24"/>
          <w:szCs w:val="24"/>
        </w:rPr>
        <w:t>t—to be QEPs.</w:t>
      </w:r>
      <w:r w:rsidR="00037C49" w:rsidRPr="00037C49">
        <w:rPr>
          <w:rStyle w:val="FootnoteReference"/>
          <w:rFonts w:ascii="Arial" w:hAnsi="Arial" w:cs="Arial"/>
          <w:sz w:val="24"/>
          <w:szCs w:val="24"/>
        </w:rPr>
        <w:t xml:space="preserve"> </w:t>
      </w:r>
      <w:r w:rsidR="00037C49">
        <w:rPr>
          <w:rStyle w:val="FootnoteReference"/>
          <w:rFonts w:ascii="Arial" w:hAnsi="Arial" w:cs="Arial"/>
          <w:sz w:val="24"/>
          <w:szCs w:val="24"/>
        </w:rPr>
        <w:footnoteReference w:id="2"/>
      </w:r>
      <w:r w:rsidR="00037C49">
        <w:rPr>
          <w:rFonts w:ascii="Arial" w:hAnsi="Arial" w:cs="Arial"/>
          <w:sz w:val="24"/>
          <w:szCs w:val="24"/>
        </w:rPr>
        <w:t xml:space="preserve"> </w:t>
      </w:r>
      <w:r w:rsidR="00D70103">
        <w:rPr>
          <w:rFonts w:ascii="Arial" w:hAnsi="Arial" w:cs="Arial"/>
          <w:sz w:val="24"/>
          <w:szCs w:val="24"/>
        </w:rPr>
        <w:t xml:space="preserve">  </w:t>
      </w:r>
    </w:p>
    <w:p w14:paraId="2B741D17" w14:textId="77777777" w:rsidR="003E237B" w:rsidRDefault="003E237B" w:rsidP="00A3089C">
      <w:pPr>
        <w:spacing w:after="0" w:line="240" w:lineRule="auto"/>
        <w:ind w:firstLine="1440"/>
        <w:rPr>
          <w:rFonts w:ascii="Arial" w:hAnsi="Arial" w:cs="Arial"/>
          <w:sz w:val="24"/>
          <w:szCs w:val="24"/>
        </w:rPr>
      </w:pPr>
    </w:p>
    <w:p w14:paraId="0FECD3D7" w14:textId="5FD21B05" w:rsidR="005355CE" w:rsidRDefault="001C6E83" w:rsidP="00383613">
      <w:pPr>
        <w:spacing w:after="0" w:line="240" w:lineRule="auto"/>
        <w:ind w:firstLine="1440"/>
        <w:rPr>
          <w:rFonts w:ascii="Arial" w:hAnsi="Arial" w:cs="Arial"/>
          <w:sz w:val="24"/>
          <w:szCs w:val="24"/>
        </w:rPr>
      </w:pPr>
      <w:r>
        <w:rPr>
          <w:rFonts w:ascii="Arial" w:hAnsi="Arial" w:cs="Arial"/>
          <w:sz w:val="24"/>
          <w:szCs w:val="24"/>
        </w:rPr>
        <w:t>T</w:t>
      </w:r>
      <w:r w:rsidR="00E84CC4">
        <w:rPr>
          <w:rFonts w:ascii="Arial" w:hAnsi="Arial" w:cs="Arial"/>
          <w:sz w:val="24"/>
          <w:szCs w:val="24"/>
        </w:rPr>
        <w:t>he Commission</w:t>
      </w:r>
      <w:r>
        <w:rPr>
          <w:rFonts w:ascii="Arial" w:hAnsi="Arial" w:cs="Arial"/>
          <w:sz w:val="24"/>
          <w:szCs w:val="24"/>
        </w:rPr>
        <w:t xml:space="preserve">'s 1992 proposal stated that it used the accredited investor definition as a </w:t>
      </w:r>
      <w:r w:rsidR="00DF01A1">
        <w:rPr>
          <w:rFonts w:ascii="Arial" w:hAnsi="Arial" w:cs="Arial"/>
          <w:sz w:val="24"/>
          <w:szCs w:val="24"/>
        </w:rPr>
        <w:t>"</w:t>
      </w:r>
      <w:r>
        <w:rPr>
          <w:rFonts w:ascii="Arial" w:hAnsi="Arial" w:cs="Arial"/>
          <w:sz w:val="24"/>
          <w:szCs w:val="24"/>
        </w:rPr>
        <w:t>foundation</w:t>
      </w:r>
      <w:r w:rsidR="00DF01A1">
        <w:rPr>
          <w:rFonts w:ascii="Arial" w:hAnsi="Arial" w:cs="Arial"/>
          <w:sz w:val="24"/>
          <w:szCs w:val="24"/>
        </w:rPr>
        <w:t>"</w:t>
      </w:r>
      <w:r>
        <w:rPr>
          <w:rFonts w:ascii="Arial" w:hAnsi="Arial" w:cs="Arial"/>
          <w:sz w:val="24"/>
          <w:szCs w:val="24"/>
        </w:rPr>
        <w:t xml:space="preserve"> to define categories of QEPs, and this definition provided objective indicia for determining that persons possess the investment expertise and experience </w:t>
      </w:r>
      <w:r w:rsidR="00383613">
        <w:rPr>
          <w:rFonts w:ascii="Arial" w:hAnsi="Arial" w:cs="Arial"/>
          <w:sz w:val="24"/>
          <w:szCs w:val="24"/>
        </w:rPr>
        <w:t xml:space="preserve">necessary to understand the risks involved with these investments and the financial resources to withstand the risks.  The Portfolio Requirement </w:t>
      </w:r>
      <w:r w:rsidR="00E30CEB">
        <w:rPr>
          <w:rFonts w:ascii="Arial" w:hAnsi="Arial" w:cs="Arial"/>
          <w:sz w:val="24"/>
          <w:szCs w:val="24"/>
        </w:rPr>
        <w:t xml:space="preserve">applicable to certain persons </w:t>
      </w:r>
      <w:r w:rsidR="00383613">
        <w:rPr>
          <w:rFonts w:ascii="Arial" w:hAnsi="Arial" w:cs="Arial"/>
          <w:sz w:val="24"/>
          <w:szCs w:val="24"/>
        </w:rPr>
        <w:t>was designed to be a further indication of a person's degree of business acumen</w:t>
      </w:r>
      <w:r w:rsidR="00291F53">
        <w:rPr>
          <w:rFonts w:ascii="Arial" w:hAnsi="Arial" w:cs="Arial"/>
          <w:sz w:val="24"/>
          <w:szCs w:val="24"/>
        </w:rPr>
        <w:t xml:space="preserve">, </w:t>
      </w:r>
      <w:r w:rsidR="00383613">
        <w:rPr>
          <w:rFonts w:ascii="Arial" w:hAnsi="Arial" w:cs="Arial"/>
          <w:sz w:val="24"/>
          <w:szCs w:val="24"/>
        </w:rPr>
        <w:t>resources</w:t>
      </w:r>
      <w:r w:rsidR="00291F53">
        <w:rPr>
          <w:rFonts w:ascii="Arial" w:hAnsi="Arial" w:cs="Arial"/>
          <w:sz w:val="24"/>
          <w:szCs w:val="24"/>
        </w:rPr>
        <w:t xml:space="preserve"> and understanding of the risks associated with investing in commodity interest products</w:t>
      </w:r>
      <w:r w:rsidR="00383613">
        <w:rPr>
          <w:rFonts w:ascii="Arial" w:hAnsi="Arial" w:cs="Arial"/>
          <w:sz w:val="24"/>
          <w:szCs w:val="24"/>
        </w:rPr>
        <w:t>.</w:t>
      </w:r>
      <w:r w:rsidR="00E30CEB">
        <w:rPr>
          <w:rFonts w:ascii="Arial" w:hAnsi="Arial" w:cs="Arial"/>
          <w:sz w:val="24"/>
          <w:szCs w:val="24"/>
        </w:rPr>
        <w:t xml:space="preserve">  </w:t>
      </w:r>
    </w:p>
    <w:p w14:paraId="6DCF701D" w14:textId="77777777" w:rsidR="005355CE" w:rsidRDefault="005355CE" w:rsidP="00383613">
      <w:pPr>
        <w:spacing w:after="0" w:line="240" w:lineRule="auto"/>
        <w:ind w:firstLine="1440"/>
        <w:rPr>
          <w:rFonts w:ascii="Arial" w:hAnsi="Arial" w:cs="Arial"/>
          <w:sz w:val="24"/>
          <w:szCs w:val="24"/>
        </w:rPr>
      </w:pPr>
    </w:p>
    <w:p w14:paraId="6CAAE3B6" w14:textId="4DCADAAD" w:rsidR="00EB730B" w:rsidRDefault="005355CE" w:rsidP="00D85E42">
      <w:pPr>
        <w:spacing w:after="0" w:line="240" w:lineRule="auto"/>
        <w:ind w:firstLine="1440"/>
        <w:rPr>
          <w:rFonts w:ascii="Arial" w:hAnsi="Arial" w:cs="Arial"/>
          <w:sz w:val="24"/>
          <w:szCs w:val="24"/>
        </w:rPr>
      </w:pPr>
      <w:r>
        <w:rPr>
          <w:rFonts w:ascii="Arial" w:hAnsi="Arial" w:cs="Arial"/>
          <w:sz w:val="24"/>
          <w:szCs w:val="24"/>
        </w:rPr>
        <w:t xml:space="preserve"> The Commission's current proposal seeks to double </w:t>
      </w:r>
      <w:r w:rsidR="00EB730B">
        <w:rPr>
          <w:rFonts w:ascii="Arial" w:hAnsi="Arial" w:cs="Arial"/>
          <w:sz w:val="24"/>
          <w:szCs w:val="24"/>
        </w:rPr>
        <w:t>the Portfolio Requirement</w:t>
      </w:r>
      <w:r>
        <w:rPr>
          <w:rFonts w:ascii="Arial" w:hAnsi="Arial" w:cs="Arial"/>
          <w:sz w:val="24"/>
          <w:szCs w:val="24"/>
        </w:rPr>
        <w:t>'s financial</w:t>
      </w:r>
      <w:r w:rsidR="00EB730B">
        <w:rPr>
          <w:rFonts w:ascii="Arial" w:hAnsi="Arial" w:cs="Arial"/>
          <w:sz w:val="24"/>
          <w:szCs w:val="24"/>
        </w:rPr>
        <w:t xml:space="preserve"> thresholds </w:t>
      </w:r>
      <w:r w:rsidR="00037C49">
        <w:rPr>
          <w:rFonts w:ascii="Arial" w:hAnsi="Arial" w:cs="Arial"/>
          <w:sz w:val="24"/>
          <w:szCs w:val="24"/>
        </w:rPr>
        <w:t xml:space="preserve">and uses </w:t>
      </w:r>
      <w:r w:rsidR="00EB730B">
        <w:rPr>
          <w:rFonts w:ascii="Arial" w:hAnsi="Arial" w:cs="Arial"/>
          <w:sz w:val="24"/>
          <w:szCs w:val="24"/>
        </w:rPr>
        <w:t>inflation since 1992</w:t>
      </w:r>
      <w:r w:rsidR="00037C49">
        <w:rPr>
          <w:rFonts w:ascii="Arial" w:hAnsi="Arial" w:cs="Arial"/>
          <w:sz w:val="24"/>
          <w:szCs w:val="24"/>
        </w:rPr>
        <w:t xml:space="preserve"> to determine the </w:t>
      </w:r>
      <w:r w:rsidR="00037C49">
        <w:rPr>
          <w:rFonts w:ascii="Arial" w:hAnsi="Arial" w:cs="Arial"/>
          <w:sz w:val="24"/>
          <w:szCs w:val="24"/>
        </w:rPr>
        <w:lastRenderedPageBreak/>
        <w:t>increased thresholds</w:t>
      </w:r>
      <w:r w:rsidR="00EB730B">
        <w:rPr>
          <w:rFonts w:ascii="Arial" w:hAnsi="Arial" w:cs="Arial"/>
          <w:sz w:val="24"/>
          <w:szCs w:val="24"/>
        </w:rPr>
        <w:t>.</w:t>
      </w:r>
      <w:r>
        <w:rPr>
          <w:rFonts w:ascii="Arial" w:hAnsi="Arial" w:cs="Arial"/>
          <w:sz w:val="24"/>
          <w:szCs w:val="24"/>
        </w:rPr>
        <w:t xml:space="preserve">  If one of Regulation 4.7's objectives is for the CFTC to coordinate its rules with those of the SEC applicable to private offerings exempt from registration, then NFA is concerned that the proposed </w:t>
      </w:r>
      <w:r w:rsidRPr="00F26D3E">
        <w:rPr>
          <w:rFonts w:ascii="Arial" w:hAnsi="Arial" w:cs="Arial"/>
          <w:sz w:val="24"/>
          <w:szCs w:val="24"/>
        </w:rPr>
        <w:t>increase to the Portfolio Requirement</w:t>
      </w:r>
      <w:r>
        <w:rPr>
          <w:rFonts w:ascii="Arial" w:hAnsi="Arial" w:cs="Arial"/>
          <w:sz w:val="24"/>
          <w:szCs w:val="24"/>
        </w:rPr>
        <w:t xml:space="preserve">'s </w:t>
      </w:r>
      <w:r w:rsidRPr="00F26D3E">
        <w:rPr>
          <w:rFonts w:ascii="Arial" w:hAnsi="Arial" w:cs="Arial"/>
          <w:sz w:val="24"/>
          <w:szCs w:val="24"/>
        </w:rPr>
        <w:t>threshold</w:t>
      </w:r>
      <w:r>
        <w:rPr>
          <w:rFonts w:ascii="Arial" w:hAnsi="Arial" w:cs="Arial"/>
          <w:sz w:val="24"/>
          <w:szCs w:val="24"/>
        </w:rPr>
        <w:t>s</w:t>
      </w:r>
      <w:r w:rsidRPr="00F26D3E">
        <w:rPr>
          <w:rFonts w:ascii="Arial" w:hAnsi="Arial" w:cs="Arial"/>
          <w:sz w:val="24"/>
          <w:szCs w:val="24"/>
        </w:rPr>
        <w:t xml:space="preserve"> may </w:t>
      </w:r>
      <w:r w:rsidR="00037C49">
        <w:rPr>
          <w:rFonts w:ascii="Arial" w:hAnsi="Arial" w:cs="Arial"/>
          <w:sz w:val="24"/>
          <w:szCs w:val="24"/>
        </w:rPr>
        <w:t xml:space="preserve">have the </w:t>
      </w:r>
      <w:r>
        <w:rPr>
          <w:rFonts w:ascii="Arial" w:hAnsi="Arial" w:cs="Arial"/>
          <w:sz w:val="24"/>
          <w:szCs w:val="24"/>
        </w:rPr>
        <w:t xml:space="preserve">opposite </w:t>
      </w:r>
      <w:r w:rsidR="00037C49">
        <w:rPr>
          <w:rFonts w:ascii="Arial" w:hAnsi="Arial" w:cs="Arial"/>
          <w:sz w:val="24"/>
          <w:szCs w:val="24"/>
        </w:rPr>
        <w:t xml:space="preserve">effect </w:t>
      </w:r>
      <w:r>
        <w:rPr>
          <w:rFonts w:ascii="Arial" w:hAnsi="Arial" w:cs="Arial"/>
          <w:sz w:val="24"/>
          <w:szCs w:val="24"/>
        </w:rPr>
        <w:t>for the categories of persons identified in CFTC Regulation 4.7(a)(3).</w:t>
      </w:r>
      <w:r w:rsidR="00291F53">
        <w:rPr>
          <w:rFonts w:ascii="Arial" w:hAnsi="Arial" w:cs="Arial"/>
          <w:sz w:val="24"/>
          <w:szCs w:val="24"/>
        </w:rPr>
        <w:t xml:space="preserve">  </w:t>
      </w:r>
      <w:r w:rsidR="00464355">
        <w:rPr>
          <w:rFonts w:ascii="Arial" w:hAnsi="Arial" w:cs="Arial"/>
          <w:sz w:val="24"/>
          <w:szCs w:val="24"/>
        </w:rPr>
        <w:t>Specifically, i</w:t>
      </w:r>
      <w:r w:rsidR="00291F53">
        <w:rPr>
          <w:rFonts w:ascii="Arial" w:hAnsi="Arial" w:cs="Arial"/>
          <w:sz w:val="24"/>
          <w:szCs w:val="24"/>
        </w:rPr>
        <w:t xml:space="preserve">n our view, any significant change to the Portfolio Requirement's financial standards </w:t>
      </w:r>
      <w:r w:rsidR="00464355">
        <w:rPr>
          <w:rFonts w:ascii="Arial" w:hAnsi="Arial" w:cs="Arial"/>
          <w:sz w:val="24"/>
          <w:szCs w:val="24"/>
        </w:rPr>
        <w:t xml:space="preserve">may </w:t>
      </w:r>
      <w:r w:rsidR="00291F53">
        <w:rPr>
          <w:rFonts w:ascii="Arial" w:hAnsi="Arial" w:cs="Arial"/>
          <w:sz w:val="24"/>
          <w:szCs w:val="24"/>
        </w:rPr>
        <w:t xml:space="preserve">move certain persons </w:t>
      </w:r>
      <w:r w:rsidR="00291F53" w:rsidRPr="00F26D3E">
        <w:rPr>
          <w:rFonts w:ascii="Arial" w:hAnsi="Arial" w:cs="Arial"/>
          <w:sz w:val="24"/>
          <w:szCs w:val="24"/>
        </w:rPr>
        <w:t xml:space="preserve">that may </w:t>
      </w:r>
      <w:r w:rsidR="00291F53">
        <w:rPr>
          <w:rFonts w:ascii="Arial" w:hAnsi="Arial" w:cs="Arial"/>
          <w:sz w:val="24"/>
          <w:szCs w:val="24"/>
        </w:rPr>
        <w:t xml:space="preserve">desire to </w:t>
      </w:r>
      <w:r w:rsidR="00291F53" w:rsidRPr="00F26D3E">
        <w:rPr>
          <w:rFonts w:ascii="Arial" w:hAnsi="Arial" w:cs="Arial"/>
          <w:sz w:val="24"/>
          <w:szCs w:val="24"/>
        </w:rPr>
        <w:t>participate in a 4.7 pool or managed account program</w:t>
      </w:r>
      <w:r w:rsidR="00291F53">
        <w:rPr>
          <w:rFonts w:ascii="Arial" w:hAnsi="Arial" w:cs="Arial"/>
          <w:sz w:val="24"/>
          <w:szCs w:val="24"/>
        </w:rPr>
        <w:t xml:space="preserve"> further away from the SEC's current accredited investor qualification standards for private offerings.  </w:t>
      </w:r>
      <w:r>
        <w:rPr>
          <w:rFonts w:ascii="Arial" w:hAnsi="Arial" w:cs="Arial"/>
          <w:sz w:val="24"/>
          <w:szCs w:val="24"/>
        </w:rPr>
        <w:t xml:space="preserve">    </w:t>
      </w:r>
    </w:p>
    <w:p w14:paraId="69BAA9CE" w14:textId="391140AB" w:rsidR="00291F53" w:rsidRDefault="00291F53" w:rsidP="00D85E42">
      <w:pPr>
        <w:spacing w:after="0" w:line="240" w:lineRule="auto"/>
        <w:ind w:firstLine="1440"/>
        <w:rPr>
          <w:rFonts w:ascii="Arial" w:hAnsi="Arial" w:cs="Arial"/>
          <w:sz w:val="24"/>
          <w:szCs w:val="24"/>
        </w:rPr>
      </w:pPr>
    </w:p>
    <w:p w14:paraId="4A8656E3" w14:textId="5C593472" w:rsidR="0007470A" w:rsidRDefault="00291F53" w:rsidP="0007470A">
      <w:pPr>
        <w:pStyle w:val="FootnoteText"/>
        <w:ind w:firstLine="1440"/>
        <w:rPr>
          <w:rFonts w:ascii="Arial" w:hAnsi="Arial" w:cs="Arial"/>
          <w:sz w:val="24"/>
          <w:szCs w:val="24"/>
        </w:rPr>
      </w:pPr>
      <w:r>
        <w:rPr>
          <w:rFonts w:ascii="Arial" w:hAnsi="Arial" w:cs="Arial"/>
          <w:sz w:val="24"/>
          <w:szCs w:val="24"/>
        </w:rPr>
        <w:t xml:space="preserve">NFA recognizes that the SEC's accredited investor financial standards have remain unchanged since the Commission adopted Regulation 4.7's exemption in 1992.  If the Commission believes that the current Regulation 4.7 qualification standards should be updated, NFA strongly recommends that the methodology to do so should first focus on </w:t>
      </w:r>
      <w:r w:rsidR="002D6D4A">
        <w:rPr>
          <w:rFonts w:ascii="Arial" w:hAnsi="Arial" w:cs="Arial"/>
          <w:sz w:val="24"/>
          <w:szCs w:val="24"/>
        </w:rPr>
        <w:t>a</w:t>
      </w:r>
      <w:r>
        <w:rPr>
          <w:rFonts w:ascii="Arial" w:hAnsi="Arial" w:cs="Arial"/>
          <w:sz w:val="24"/>
          <w:szCs w:val="24"/>
        </w:rPr>
        <w:t xml:space="preserve"> </w:t>
      </w:r>
      <w:r w:rsidR="00DF01A1">
        <w:rPr>
          <w:rFonts w:ascii="Arial" w:hAnsi="Arial" w:cs="Arial"/>
          <w:sz w:val="24"/>
          <w:szCs w:val="24"/>
        </w:rPr>
        <w:t xml:space="preserve">"foundation" of the QEP definition—the SEC's accredited investor definition.  Specifically, NFA suggests that the Commission work with the SEC to review the accredited investor definition and determine if any changes are appropriate to that definition.  </w:t>
      </w:r>
    </w:p>
    <w:p w14:paraId="4CEAB869" w14:textId="77777777" w:rsidR="0007470A" w:rsidRDefault="0007470A" w:rsidP="00DF01A1">
      <w:pPr>
        <w:pStyle w:val="FootnoteText"/>
        <w:rPr>
          <w:rFonts w:ascii="Arial" w:hAnsi="Arial" w:cs="Arial"/>
          <w:sz w:val="24"/>
          <w:szCs w:val="24"/>
        </w:rPr>
      </w:pPr>
    </w:p>
    <w:p w14:paraId="0B48E3AA" w14:textId="6F628647" w:rsidR="008830EC" w:rsidRDefault="00DF01A1" w:rsidP="008830EC">
      <w:pPr>
        <w:pStyle w:val="FootnoteText"/>
        <w:ind w:firstLine="1440"/>
        <w:rPr>
          <w:rFonts w:ascii="Arial" w:hAnsi="Arial" w:cs="Arial"/>
          <w:sz w:val="24"/>
          <w:szCs w:val="24"/>
        </w:rPr>
      </w:pPr>
      <w:r w:rsidRPr="00DF01A1">
        <w:rPr>
          <w:rFonts w:ascii="Arial" w:hAnsi="Arial" w:cs="Arial"/>
          <w:sz w:val="24"/>
          <w:szCs w:val="24"/>
        </w:rPr>
        <w:t>The SEC appeared to last make changes to the accredited investor definition in August 2020.  Section 413(b)(2)(A) of the Dodd-Frank Wall Street Reform and Consumer Protection Act directs the SEC to review the accredited investor definition as it relates to natural persons every four years to determine whether the definition should be modified or adjusted for the protection of investors, in the public interest and in light of the economy.</w:t>
      </w:r>
      <w:r>
        <w:rPr>
          <w:rFonts w:ascii="Arial" w:hAnsi="Arial" w:cs="Arial"/>
          <w:sz w:val="24"/>
          <w:szCs w:val="24"/>
        </w:rPr>
        <w:t xml:space="preserve">  Given this </w:t>
      </w:r>
      <w:r w:rsidR="0007470A">
        <w:rPr>
          <w:rFonts w:ascii="Arial" w:hAnsi="Arial" w:cs="Arial"/>
          <w:sz w:val="24"/>
          <w:szCs w:val="24"/>
        </w:rPr>
        <w:t xml:space="preserve">Congressional </w:t>
      </w:r>
      <w:r>
        <w:rPr>
          <w:rFonts w:ascii="Arial" w:hAnsi="Arial" w:cs="Arial"/>
          <w:sz w:val="24"/>
          <w:szCs w:val="24"/>
        </w:rPr>
        <w:t xml:space="preserve">directive, it appears that this </w:t>
      </w:r>
      <w:r w:rsidR="00F91913">
        <w:rPr>
          <w:rFonts w:ascii="Arial" w:hAnsi="Arial" w:cs="Arial"/>
          <w:sz w:val="24"/>
          <w:szCs w:val="24"/>
        </w:rPr>
        <w:t>may</w:t>
      </w:r>
      <w:r>
        <w:rPr>
          <w:rFonts w:ascii="Arial" w:hAnsi="Arial" w:cs="Arial"/>
          <w:sz w:val="24"/>
          <w:szCs w:val="24"/>
        </w:rPr>
        <w:t xml:space="preserve"> be an opportune time for the CFTC and SEC to </w:t>
      </w:r>
      <w:r w:rsidR="0007470A">
        <w:rPr>
          <w:rFonts w:ascii="Arial" w:hAnsi="Arial" w:cs="Arial"/>
          <w:sz w:val="24"/>
          <w:szCs w:val="24"/>
        </w:rPr>
        <w:t>jointly determine if the accredited investor definition's financial thresholds should be increased, particularly for natural persons.  Afterwards, the CFTC should revisit whether</w:t>
      </w:r>
      <w:r w:rsidR="00845B65">
        <w:rPr>
          <w:rFonts w:ascii="Arial" w:hAnsi="Arial" w:cs="Arial"/>
          <w:sz w:val="24"/>
          <w:szCs w:val="24"/>
        </w:rPr>
        <w:t xml:space="preserve"> any</w:t>
      </w:r>
      <w:r w:rsidR="0007470A">
        <w:rPr>
          <w:rFonts w:ascii="Arial" w:hAnsi="Arial" w:cs="Arial"/>
          <w:sz w:val="24"/>
          <w:szCs w:val="24"/>
        </w:rPr>
        <w:t xml:space="preserve"> changes to the Portfolio Requirement's financial thresholds are necessary </w:t>
      </w:r>
      <w:r w:rsidR="00845B65">
        <w:rPr>
          <w:rFonts w:ascii="Arial" w:hAnsi="Arial" w:cs="Arial"/>
          <w:sz w:val="24"/>
          <w:szCs w:val="24"/>
        </w:rPr>
        <w:t>to achieve investor protection.  If the CFTC determines to make a change, they should also ensure that any</w:t>
      </w:r>
      <w:r w:rsidR="0007470A">
        <w:rPr>
          <w:rFonts w:ascii="Arial" w:hAnsi="Arial" w:cs="Arial"/>
          <w:sz w:val="24"/>
          <w:szCs w:val="24"/>
        </w:rPr>
        <w:t xml:space="preserve"> increase </w:t>
      </w:r>
      <w:r w:rsidR="00845B65">
        <w:rPr>
          <w:rFonts w:ascii="Arial" w:hAnsi="Arial" w:cs="Arial"/>
          <w:sz w:val="24"/>
          <w:szCs w:val="24"/>
        </w:rPr>
        <w:t xml:space="preserve">is consistent </w:t>
      </w:r>
      <w:r w:rsidR="0007470A">
        <w:rPr>
          <w:rFonts w:ascii="Arial" w:hAnsi="Arial" w:cs="Arial"/>
          <w:sz w:val="24"/>
          <w:szCs w:val="24"/>
        </w:rPr>
        <w:t xml:space="preserve">with the CFTC's 1992 stated objective to coordinate its rules with those of the SEC applicable to private offerings exempt from registration so that most qualifying offers may operate under an exemption from otherwise applicable requirements of both the Commodity Exchange Act and the securities laws.  </w:t>
      </w:r>
    </w:p>
    <w:p w14:paraId="29D29639" w14:textId="77777777" w:rsidR="008830EC" w:rsidRDefault="008830EC" w:rsidP="008830EC">
      <w:pPr>
        <w:pStyle w:val="FootnoteText"/>
        <w:ind w:firstLine="1440"/>
        <w:rPr>
          <w:rFonts w:ascii="Arial" w:hAnsi="Arial" w:cs="Arial"/>
          <w:sz w:val="24"/>
          <w:szCs w:val="24"/>
        </w:rPr>
      </w:pPr>
    </w:p>
    <w:p w14:paraId="2C6B16EA" w14:textId="0635BB40" w:rsidR="001530E9" w:rsidRDefault="00513DAE" w:rsidP="008830EC">
      <w:pPr>
        <w:pStyle w:val="FootnoteText"/>
        <w:ind w:firstLine="1440"/>
        <w:rPr>
          <w:rFonts w:ascii="Arial" w:hAnsi="Arial" w:cs="Arial"/>
          <w:sz w:val="24"/>
          <w:szCs w:val="24"/>
        </w:rPr>
      </w:pPr>
      <w:r w:rsidRPr="00513DAE">
        <w:rPr>
          <w:rFonts w:ascii="Arial" w:hAnsi="Arial" w:cs="Arial"/>
          <w:i/>
          <w:iCs/>
          <w:sz w:val="24"/>
          <w:szCs w:val="24"/>
        </w:rPr>
        <w:t>New Disclosure Requirements</w:t>
      </w:r>
      <w:r>
        <w:rPr>
          <w:rFonts w:ascii="Arial" w:hAnsi="Arial" w:cs="Arial"/>
          <w:sz w:val="24"/>
          <w:szCs w:val="24"/>
        </w:rPr>
        <w:t xml:space="preserve">.  </w:t>
      </w:r>
      <w:r w:rsidR="00F27318">
        <w:rPr>
          <w:rFonts w:ascii="Arial" w:hAnsi="Arial" w:cs="Arial"/>
          <w:sz w:val="24"/>
          <w:szCs w:val="24"/>
        </w:rPr>
        <w:t xml:space="preserve">Regulation 4.7 is premised, in part, on the belief that QEPs </w:t>
      </w:r>
      <w:r w:rsidR="001530E9">
        <w:rPr>
          <w:rFonts w:ascii="Arial" w:hAnsi="Arial" w:cs="Arial"/>
          <w:sz w:val="24"/>
          <w:szCs w:val="24"/>
        </w:rPr>
        <w:t>can</w:t>
      </w:r>
      <w:r w:rsidR="00F27318">
        <w:rPr>
          <w:rFonts w:ascii="Arial" w:hAnsi="Arial" w:cs="Arial"/>
          <w:sz w:val="24"/>
          <w:szCs w:val="24"/>
        </w:rPr>
        <w:t xml:space="preserve"> identify and obtain information they deem necessary to evaluate the investment offered and therefore prescriptive disclosure rules are unnecessary.  </w:t>
      </w:r>
      <w:r w:rsidR="00311391">
        <w:rPr>
          <w:rFonts w:ascii="Arial" w:hAnsi="Arial" w:cs="Arial"/>
          <w:sz w:val="24"/>
          <w:szCs w:val="24"/>
        </w:rPr>
        <w:t xml:space="preserve">The CFTC's rationale underlying the </w:t>
      </w:r>
      <w:r w:rsidR="00F27318">
        <w:rPr>
          <w:rFonts w:ascii="Arial" w:hAnsi="Arial" w:cs="Arial"/>
          <w:sz w:val="24"/>
          <w:szCs w:val="24"/>
        </w:rPr>
        <w:t xml:space="preserve">proposed </w:t>
      </w:r>
      <w:r w:rsidR="00311391">
        <w:rPr>
          <w:rFonts w:ascii="Arial" w:hAnsi="Arial" w:cs="Arial"/>
          <w:sz w:val="24"/>
          <w:szCs w:val="24"/>
        </w:rPr>
        <w:t xml:space="preserve">mandated disclosures appears to be that </w:t>
      </w:r>
      <w:r w:rsidR="00F27318">
        <w:rPr>
          <w:rFonts w:ascii="Arial" w:hAnsi="Arial" w:cs="Arial"/>
          <w:sz w:val="24"/>
          <w:szCs w:val="24"/>
        </w:rPr>
        <w:t xml:space="preserve">an absence of minimal disclosure obligations and an ongoing requirement to keep them accurate fails to ensure that all QEPs have the leverage and resources to make informed investment decisions and closely monitor and understand their investments.  As the Commission noted in </w:t>
      </w:r>
      <w:r w:rsidR="001530E9">
        <w:rPr>
          <w:rFonts w:ascii="Arial" w:hAnsi="Arial" w:cs="Arial"/>
          <w:sz w:val="24"/>
          <w:szCs w:val="24"/>
        </w:rPr>
        <w:t xml:space="preserve">adopting the 4.7 exemption in </w:t>
      </w:r>
      <w:r w:rsidR="00F27318">
        <w:rPr>
          <w:rFonts w:ascii="Arial" w:hAnsi="Arial" w:cs="Arial"/>
          <w:sz w:val="24"/>
          <w:szCs w:val="24"/>
        </w:rPr>
        <w:t>1992, R</w:t>
      </w:r>
      <w:r w:rsidR="00037C49">
        <w:rPr>
          <w:rFonts w:ascii="Arial" w:hAnsi="Arial" w:cs="Arial"/>
          <w:sz w:val="24"/>
          <w:szCs w:val="24"/>
        </w:rPr>
        <w:t>egulation</w:t>
      </w:r>
      <w:r w:rsidR="00F27318">
        <w:rPr>
          <w:rFonts w:ascii="Arial" w:hAnsi="Arial" w:cs="Arial"/>
          <w:sz w:val="24"/>
          <w:szCs w:val="24"/>
        </w:rPr>
        <w:t xml:space="preserve"> 4.7 does not preclude participants in an exempt pool from obtaining the information they require or excuse CPOs and CTAs from making such information available.  Over the years, NFA has received few complaints </w:t>
      </w:r>
      <w:r w:rsidR="001530E9">
        <w:rPr>
          <w:rFonts w:ascii="Arial" w:hAnsi="Arial" w:cs="Arial"/>
          <w:sz w:val="24"/>
          <w:szCs w:val="24"/>
        </w:rPr>
        <w:t xml:space="preserve">from 4.7 exempt pool participants and managed account program clients that CPOs and CTAs have not provided them with information upon request.  </w:t>
      </w:r>
    </w:p>
    <w:p w14:paraId="6D9E8CCD" w14:textId="77777777" w:rsidR="001530E9" w:rsidRDefault="001530E9" w:rsidP="00D85E42">
      <w:pPr>
        <w:spacing w:after="0" w:line="240" w:lineRule="auto"/>
        <w:ind w:firstLine="1440"/>
        <w:rPr>
          <w:rFonts w:ascii="Arial" w:hAnsi="Arial" w:cs="Arial"/>
          <w:sz w:val="24"/>
          <w:szCs w:val="24"/>
        </w:rPr>
      </w:pPr>
    </w:p>
    <w:p w14:paraId="6B3A8B5B" w14:textId="42904BC4" w:rsidR="00B15CF4" w:rsidRDefault="001530E9" w:rsidP="00D85E42">
      <w:pPr>
        <w:spacing w:after="0" w:line="240" w:lineRule="auto"/>
        <w:ind w:firstLine="1440"/>
        <w:rPr>
          <w:rFonts w:ascii="Arial" w:hAnsi="Arial" w:cs="Arial"/>
          <w:sz w:val="24"/>
          <w:szCs w:val="24"/>
        </w:rPr>
      </w:pPr>
      <w:r>
        <w:rPr>
          <w:rFonts w:ascii="Arial" w:hAnsi="Arial" w:cs="Arial"/>
          <w:sz w:val="24"/>
          <w:szCs w:val="24"/>
        </w:rPr>
        <w:lastRenderedPageBreak/>
        <w:t>NFA encourages the Commission to carefully evaluate the increased operational costs associated with requiring CPOs and CTAs offering 4.7 pools and managed account programs to provide the proposed additional disclosures and updating (either annually or sooner for material changes) expanded disclosure materials.  These costs will almost certainly be passed on to the pools' participants and managed account programs' clients.  Moreover, a</w:t>
      </w:r>
      <w:r w:rsidR="005807E2">
        <w:rPr>
          <w:rFonts w:ascii="Arial" w:hAnsi="Arial" w:cs="Arial"/>
          <w:sz w:val="24"/>
          <w:szCs w:val="24"/>
        </w:rPr>
        <w:t>s the Commission notes in the</w:t>
      </w:r>
      <w:r>
        <w:rPr>
          <w:rFonts w:ascii="Arial" w:hAnsi="Arial" w:cs="Arial"/>
          <w:sz w:val="24"/>
          <w:szCs w:val="24"/>
        </w:rPr>
        <w:t xml:space="preserve"> proposal's</w:t>
      </w:r>
      <w:r w:rsidR="005807E2">
        <w:rPr>
          <w:rFonts w:ascii="Arial" w:hAnsi="Arial" w:cs="Arial"/>
          <w:sz w:val="24"/>
          <w:szCs w:val="24"/>
        </w:rPr>
        <w:t xml:space="preserve"> preamble, </w:t>
      </w:r>
      <w:r>
        <w:rPr>
          <w:rFonts w:ascii="Arial" w:hAnsi="Arial" w:cs="Arial"/>
          <w:sz w:val="24"/>
          <w:szCs w:val="24"/>
        </w:rPr>
        <w:t xml:space="preserve">the number of </w:t>
      </w:r>
      <w:r w:rsidR="005807E2">
        <w:rPr>
          <w:rFonts w:ascii="Arial" w:hAnsi="Arial" w:cs="Arial"/>
          <w:sz w:val="24"/>
          <w:szCs w:val="24"/>
        </w:rPr>
        <w:t xml:space="preserve">4.7 pools </w:t>
      </w:r>
      <w:r>
        <w:rPr>
          <w:rFonts w:ascii="Arial" w:hAnsi="Arial" w:cs="Arial"/>
          <w:sz w:val="24"/>
          <w:szCs w:val="24"/>
        </w:rPr>
        <w:t xml:space="preserve">continue to grow </w:t>
      </w:r>
      <w:r w:rsidR="005807E2">
        <w:rPr>
          <w:rFonts w:ascii="Arial" w:hAnsi="Arial" w:cs="Arial"/>
          <w:sz w:val="24"/>
          <w:szCs w:val="24"/>
        </w:rPr>
        <w:t>as a percentage of overall listed commodity pools</w:t>
      </w:r>
      <w:r w:rsidR="00A3235C">
        <w:rPr>
          <w:rFonts w:ascii="Arial" w:hAnsi="Arial" w:cs="Arial"/>
          <w:sz w:val="24"/>
          <w:szCs w:val="24"/>
        </w:rPr>
        <w:t>.</w:t>
      </w:r>
      <w:r>
        <w:rPr>
          <w:rFonts w:ascii="Arial" w:hAnsi="Arial" w:cs="Arial"/>
          <w:sz w:val="24"/>
          <w:szCs w:val="24"/>
        </w:rPr>
        <w:t xml:space="preserve">  </w:t>
      </w:r>
      <w:r w:rsidR="005807E2">
        <w:rPr>
          <w:rFonts w:ascii="Arial" w:hAnsi="Arial" w:cs="Arial"/>
          <w:sz w:val="24"/>
          <w:szCs w:val="24"/>
        </w:rPr>
        <w:t xml:space="preserve">However, over the last 5 years, NFA has seen a </w:t>
      </w:r>
      <w:r>
        <w:rPr>
          <w:rFonts w:ascii="Arial" w:hAnsi="Arial" w:cs="Arial"/>
          <w:sz w:val="24"/>
          <w:szCs w:val="24"/>
        </w:rPr>
        <w:t xml:space="preserve">meaningful </w:t>
      </w:r>
      <w:r w:rsidR="005807E2">
        <w:rPr>
          <w:rFonts w:ascii="Arial" w:hAnsi="Arial" w:cs="Arial"/>
          <w:sz w:val="24"/>
          <w:szCs w:val="24"/>
        </w:rPr>
        <w:t>decline in the overall number of CPO and CTA Members, as well as the number of CPOs</w:t>
      </w:r>
      <w:r w:rsidR="00A3235C">
        <w:rPr>
          <w:rFonts w:ascii="Arial" w:hAnsi="Arial" w:cs="Arial"/>
          <w:sz w:val="24"/>
          <w:szCs w:val="24"/>
        </w:rPr>
        <w:t xml:space="preserve"> </w:t>
      </w:r>
      <w:r w:rsidR="005C7392">
        <w:rPr>
          <w:rFonts w:ascii="Arial" w:hAnsi="Arial" w:cs="Arial"/>
          <w:sz w:val="24"/>
          <w:szCs w:val="24"/>
        </w:rPr>
        <w:t>and CTAs offering 4.7 products</w:t>
      </w:r>
      <w:r w:rsidR="00A3235C">
        <w:rPr>
          <w:rStyle w:val="FootnoteReference"/>
          <w:rFonts w:ascii="Arial" w:hAnsi="Arial" w:cs="Arial"/>
          <w:sz w:val="24"/>
          <w:szCs w:val="24"/>
        </w:rPr>
        <w:footnoteReference w:id="3"/>
      </w:r>
      <w:r w:rsidR="00A3235C">
        <w:rPr>
          <w:rFonts w:ascii="Arial" w:hAnsi="Arial" w:cs="Arial"/>
          <w:sz w:val="24"/>
          <w:szCs w:val="24"/>
        </w:rPr>
        <w:t>.</w:t>
      </w:r>
      <w:r w:rsidR="005807E2">
        <w:rPr>
          <w:rFonts w:ascii="Arial" w:hAnsi="Arial" w:cs="Arial"/>
          <w:sz w:val="24"/>
          <w:szCs w:val="24"/>
        </w:rPr>
        <w:t xml:space="preserve">  </w:t>
      </w:r>
      <w:r w:rsidR="00A3235C">
        <w:rPr>
          <w:rFonts w:ascii="Arial" w:hAnsi="Arial" w:cs="Arial"/>
          <w:sz w:val="24"/>
          <w:szCs w:val="24"/>
        </w:rPr>
        <w:t xml:space="preserve">NFA is concerned that the additional costs </w:t>
      </w:r>
      <w:r w:rsidR="00B15CF4">
        <w:rPr>
          <w:rFonts w:ascii="Arial" w:hAnsi="Arial" w:cs="Arial"/>
          <w:sz w:val="24"/>
          <w:szCs w:val="24"/>
        </w:rPr>
        <w:t>associated with providing the mandated d</w:t>
      </w:r>
      <w:r w:rsidR="00A3235C">
        <w:rPr>
          <w:rFonts w:ascii="Arial" w:hAnsi="Arial" w:cs="Arial"/>
          <w:sz w:val="24"/>
          <w:szCs w:val="24"/>
        </w:rPr>
        <w:t xml:space="preserve">isclosure requirements may result in a further reduction of </w:t>
      </w:r>
      <w:r w:rsidR="00B15CF4">
        <w:rPr>
          <w:rFonts w:ascii="Arial" w:hAnsi="Arial" w:cs="Arial"/>
          <w:sz w:val="24"/>
          <w:szCs w:val="24"/>
        </w:rPr>
        <w:t>(and a barrier to entry</w:t>
      </w:r>
      <w:r w:rsidR="00037C49">
        <w:rPr>
          <w:rFonts w:ascii="Arial" w:hAnsi="Arial" w:cs="Arial"/>
          <w:sz w:val="24"/>
          <w:szCs w:val="24"/>
        </w:rPr>
        <w:t xml:space="preserve"> for</w:t>
      </w:r>
      <w:r w:rsidR="00B15CF4">
        <w:rPr>
          <w:rFonts w:ascii="Arial" w:hAnsi="Arial" w:cs="Arial"/>
          <w:sz w:val="24"/>
          <w:szCs w:val="24"/>
        </w:rPr>
        <w:t xml:space="preserve">) </w:t>
      </w:r>
      <w:r w:rsidR="00A3235C">
        <w:rPr>
          <w:rFonts w:ascii="Arial" w:hAnsi="Arial" w:cs="Arial"/>
          <w:sz w:val="24"/>
          <w:szCs w:val="24"/>
        </w:rPr>
        <w:t>registered CPOs and CTAs</w:t>
      </w:r>
      <w:r w:rsidR="00B15CF4">
        <w:rPr>
          <w:rFonts w:ascii="Arial" w:hAnsi="Arial" w:cs="Arial"/>
          <w:sz w:val="24"/>
          <w:szCs w:val="24"/>
        </w:rPr>
        <w:t xml:space="preserve">, </w:t>
      </w:r>
      <w:r w:rsidR="00AF2072">
        <w:rPr>
          <w:rFonts w:ascii="Arial" w:hAnsi="Arial" w:cs="Arial"/>
          <w:sz w:val="24"/>
          <w:szCs w:val="24"/>
        </w:rPr>
        <w:t xml:space="preserve">and thus limit the </w:t>
      </w:r>
      <w:r w:rsidR="00037C49">
        <w:rPr>
          <w:rFonts w:ascii="Arial" w:hAnsi="Arial" w:cs="Arial"/>
          <w:sz w:val="24"/>
          <w:szCs w:val="24"/>
        </w:rPr>
        <w:t xml:space="preserve">investment </w:t>
      </w:r>
      <w:r w:rsidR="00AF2072">
        <w:rPr>
          <w:rFonts w:ascii="Arial" w:hAnsi="Arial" w:cs="Arial"/>
          <w:sz w:val="24"/>
          <w:szCs w:val="24"/>
        </w:rPr>
        <w:t>options available to investors</w:t>
      </w:r>
      <w:r w:rsidR="00A3235C">
        <w:rPr>
          <w:rFonts w:ascii="Arial" w:hAnsi="Arial" w:cs="Arial"/>
          <w:sz w:val="24"/>
          <w:szCs w:val="24"/>
        </w:rPr>
        <w:t>.</w:t>
      </w:r>
      <w:r w:rsidR="00B15CF4">
        <w:rPr>
          <w:rFonts w:ascii="Arial" w:hAnsi="Arial" w:cs="Arial"/>
          <w:sz w:val="24"/>
          <w:szCs w:val="24"/>
        </w:rPr>
        <w:t xml:space="preserve">  </w:t>
      </w:r>
    </w:p>
    <w:p w14:paraId="05A64070" w14:textId="77777777" w:rsidR="00B15CF4" w:rsidRDefault="00B15CF4" w:rsidP="00D85E42">
      <w:pPr>
        <w:spacing w:after="0" w:line="240" w:lineRule="auto"/>
        <w:ind w:firstLine="1440"/>
        <w:rPr>
          <w:rFonts w:ascii="Arial" w:hAnsi="Arial" w:cs="Arial"/>
          <w:sz w:val="24"/>
          <w:szCs w:val="24"/>
        </w:rPr>
      </w:pPr>
    </w:p>
    <w:p w14:paraId="50E9BD8D" w14:textId="0329418E" w:rsidR="00C8308D" w:rsidRDefault="00B15CF4" w:rsidP="00D85E42">
      <w:pPr>
        <w:spacing w:after="0" w:line="240" w:lineRule="auto"/>
        <w:ind w:firstLine="1440"/>
        <w:rPr>
          <w:rFonts w:ascii="Arial" w:hAnsi="Arial" w:cs="Arial"/>
          <w:sz w:val="24"/>
          <w:szCs w:val="24"/>
        </w:rPr>
      </w:pPr>
      <w:r>
        <w:rPr>
          <w:rFonts w:ascii="Arial" w:hAnsi="Arial" w:cs="Arial"/>
          <w:sz w:val="24"/>
          <w:szCs w:val="24"/>
        </w:rPr>
        <w:t xml:space="preserve">Moreover, we are concerned that the Commission's overall new proposed framework for Regulation 4.7 and its associated costs may be an impetus for currently registered CPOs </w:t>
      </w:r>
      <w:r w:rsidR="00E678BF">
        <w:rPr>
          <w:rFonts w:ascii="Arial" w:hAnsi="Arial" w:cs="Arial"/>
          <w:sz w:val="24"/>
          <w:szCs w:val="24"/>
        </w:rPr>
        <w:t>to either cease using commodity interest products and deregister or if they have</w:t>
      </w:r>
      <w:r>
        <w:rPr>
          <w:rFonts w:ascii="Arial" w:hAnsi="Arial" w:cs="Arial"/>
          <w:sz w:val="24"/>
          <w:szCs w:val="24"/>
        </w:rPr>
        <w:t xml:space="preserve"> qualifying participants and a </w:t>
      </w:r>
      <w:r w:rsidRPr="00B15CF4">
        <w:rPr>
          <w:rFonts w:ascii="Arial" w:hAnsi="Arial" w:cs="Arial"/>
          <w:i/>
          <w:iCs/>
          <w:sz w:val="24"/>
          <w:szCs w:val="24"/>
        </w:rPr>
        <w:t>de minimis</w:t>
      </w:r>
      <w:r>
        <w:rPr>
          <w:rFonts w:ascii="Arial" w:hAnsi="Arial" w:cs="Arial"/>
          <w:sz w:val="24"/>
          <w:szCs w:val="24"/>
        </w:rPr>
        <w:t xml:space="preserve"> amount of commodity interest activity to file an exemption from CFTC registration pursuant to CFTC Regulation 4.13(a)(3).  W</w:t>
      </w:r>
      <w:r w:rsidR="00B42413">
        <w:rPr>
          <w:rFonts w:ascii="Arial" w:hAnsi="Arial" w:cs="Arial"/>
          <w:sz w:val="24"/>
          <w:szCs w:val="24"/>
        </w:rPr>
        <w:t xml:space="preserve">hile the </w:t>
      </w:r>
      <w:r>
        <w:rPr>
          <w:rFonts w:ascii="Arial" w:hAnsi="Arial" w:cs="Arial"/>
          <w:sz w:val="24"/>
          <w:szCs w:val="24"/>
        </w:rPr>
        <w:t xml:space="preserve">materiality of this potentiality </w:t>
      </w:r>
      <w:r w:rsidR="00B42413">
        <w:rPr>
          <w:rFonts w:ascii="Arial" w:hAnsi="Arial" w:cs="Arial"/>
          <w:sz w:val="24"/>
          <w:szCs w:val="24"/>
        </w:rPr>
        <w:t xml:space="preserve">is uncertain because it depends largely on registered CPOs' business calculations and trading decisions, we believe an undesirable outcome of the current proposed changes may be for CPOs to </w:t>
      </w:r>
      <w:r w:rsidR="00510C47">
        <w:rPr>
          <w:rFonts w:ascii="Arial" w:hAnsi="Arial" w:cs="Arial"/>
          <w:sz w:val="24"/>
          <w:szCs w:val="24"/>
        </w:rPr>
        <w:t xml:space="preserve">file a 4.13 exemption thereby falling </w:t>
      </w:r>
      <w:r w:rsidR="00B42413">
        <w:rPr>
          <w:rFonts w:ascii="Arial" w:hAnsi="Arial" w:cs="Arial"/>
          <w:sz w:val="24"/>
          <w:szCs w:val="24"/>
        </w:rPr>
        <w:t xml:space="preserve">outside the </w:t>
      </w:r>
      <w:r>
        <w:rPr>
          <w:rFonts w:ascii="Arial" w:hAnsi="Arial" w:cs="Arial"/>
          <w:sz w:val="24"/>
          <w:szCs w:val="24"/>
        </w:rPr>
        <w:t>CFTC's and NFA's regulatory oversight</w:t>
      </w:r>
      <w:r w:rsidR="00B42413">
        <w:rPr>
          <w:rFonts w:ascii="Arial" w:hAnsi="Arial" w:cs="Arial"/>
          <w:sz w:val="24"/>
          <w:szCs w:val="24"/>
        </w:rPr>
        <w:t>, absent the CFTC's anti-fraud jurisdiction</w:t>
      </w:r>
      <w:r w:rsidR="00B048DE">
        <w:rPr>
          <w:rFonts w:ascii="Arial" w:hAnsi="Arial" w:cs="Arial"/>
          <w:sz w:val="24"/>
          <w:szCs w:val="24"/>
        </w:rPr>
        <w:t>.</w:t>
      </w:r>
      <w:r w:rsidR="00B048DE">
        <w:rPr>
          <w:rStyle w:val="FootnoteReference"/>
          <w:rFonts w:ascii="Arial" w:hAnsi="Arial" w:cs="Arial"/>
          <w:sz w:val="24"/>
          <w:szCs w:val="24"/>
        </w:rPr>
        <w:footnoteReference w:id="4"/>
      </w:r>
      <w:r w:rsidR="00B42413">
        <w:rPr>
          <w:rFonts w:ascii="Arial" w:hAnsi="Arial" w:cs="Arial"/>
          <w:sz w:val="24"/>
          <w:szCs w:val="24"/>
        </w:rPr>
        <w:t xml:space="preserve"> </w:t>
      </w:r>
      <w:r>
        <w:rPr>
          <w:rFonts w:ascii="Arial" w:hAnsi="Arial" w:cs="Arial"/>
          <w:sz w:val="24"/>
          <w:szCs w:val="24"/>
        </w:rPr>
        <w:t xml:space="preserve">   </w:t>
      </w:r>
      <w:r w:rsidR="00C8308D">
        <w:rPr>
          <w:rFonts w:ascii="Arial" w:hAnsi="Arial" w:cs="Arial"/>
          <w:sz w:val="24"/>
          <w:szCs w:val="24"/>
        </w:rPr>
        <w:t xml:space="preserve"> </w:t>
      </w:r>
    </w:p>
    <w:p w14:paraId="63FC087B" w14:textId="56DE4D5E" w:rsidR="00071600" w:rsidRDefault="00071600" w:rsidP="00D85E42">
      <w:pPr>
        <w:spacing w:after="0" w:line="240" w:lineRule="auto"/>
        <w:ind w:firstLine="1440"/>
        <w:rPr>
          <w:rFonts w:ascii="Arial" w:hAnsi="Arial" w:cs="Arial"/>
          <w:sz w:val="24"/>
          <w:szCs w:val="24"/>
        </w:rPr>
      </w:pPr>
    </w:p>
    <w:p w14:paraId="4F9FE287" w14:textId="5B306816" w:rsidR="00071600" w:rsidRPr="00071600" w:rsidRDefault="00071600" w:rsidP="00071600">
      <w:pPr>
        <w:ind w:firstLine="1440"/>
        <w:rPr>
          <w:rFonts w:ascii="Arial" w:hAnsi="Arial" w:cs="Arial"/>
          <w:sz w:val="24"/>
          <w:szCs w:val="24"/>
        </w:rPr>
      </w:pPr>
      <w:r w:rsidRPr="00B11814">
        <w:rPr>
          <w:rFonts w:ascii="Arial" w:hAnsi="Arial" w:cs="Arial"/>
          <w:sz w:val="24"/>
          <w:szCs w:val="24"/>
        </w:rPr>
        <w:t xml:space="preserve">NFA also has a specific concern regarding the </w:t>
      </w:r>
      <w:r w:rsidR="006E4FC7" w:rsidRPr="00B11814">
        <w:rPr>
          <w:rFonts w:ascii="Arial" w:hAnsi="Arial" w:cs="Arial"/>
          <w:sz w:val="24"/>
          <w:szCs w:val="24"/>
        </w:rPr>
        <w:t xml:space="preserve">proposed </w:t>
      </w:r>
      <w:r w:rsidRPr="00B11814">
        <w:rPr>
          <w:rFonts w:ascii="Arial" w:hAnsi="Arial" w:cs="Arial"/>
          <w:sz w:val="24"/>
          <w:szCs w:val="24"/>
        </w:rPr>
        <w:t>past performance disclosures</w:t>
      </w:r>
      <w:r w:rsidR="006E4FC7" w:rsidRPr="00B11814">
        <w:rPr>
          <w:rFonts w:ascii="Arial" w:hAnsi="Arial" w:cs="Arial"/>
          <w:sz w:val="24"/>
          <w:szCs w:val="24"/>
        </w:rPr>
        <w:t xml:space="preserve"> for 4.7 CTAs</w:t>
      </w:r>
      <w:r w:rsidR="00AE3775" w:rsidRPr="00B11814">
        <w:rPr>
          <w:rFonts w:ascii="Arial" w:hAnsi="Arial" w:cs="Arial"/>
          <w:sz w:val="24"/>
          <w:szCs w:val="24"/>
        </w:rPr>
        <w:t xml:space="preserve">.  </w:t>
      </w:r>
      <w:r w:rsidRPr="00B11814">
        <w:rPr>
          <w:rFonts w:ascii="Arial" w:hAnsi="Arial" w:cs="Arial"/>
          <w:sz w:val="24"/>
          <w:szCs w:val="24"/>
        </w:rPr>
        <w:t xml:space="preserve">The preamble seems to suggest that 4.7 CTAs only need to provide performance for their 4.7 trading programs, however, the rule text indicates 4.7 </w:t>
      </w:r>
      <w:r w:rsidRPr="00AA134D">
        <w:rPr>
          <w:rFonts w:ascii="Arial" w:hAnsi="Arial" w:cs="Arial"/>
          <w:sz w:val="24"/>
          <w:szCs w:val="24"/>
        </w:rPr>
        <w:t xml:space="preserve">CTAs would have to provide performance for all their trading programs, including non-4.7 programs.  </w:t>
      </w:r>
      <w:r w:rsidR="00B11814" w:rsidRPr="00AA134D">
        <w:rPr>
          <w:rFonts w:ascii="Arial" w:eastAsia="Times New Roman" w:hAnsi="Arial" w:cs="Arial"/>
          <w:sz w:val="24"/>
          <w:szCs w:val="24"/>
        </w:rPr>
        <w:t>NFA requests that the Commission clarify the breadth of the disclosure requirement for 4.7 CTAs.  NFA is concerned however</w:t>
      </w:r>
      <w:r w:rsidR="0050193B" w:rsidRPr="00AA134D">
        <w:rPr>
          <w:rFonts w:ascii="Arial" w:eastAsia="Times New Roman" w:hAnsi="Arial" w:cs="Arial"/>
          <w:sz w:val="24"/>
          <w:szCs w:val="24"/>
        </w:rPr>
        <w:t>,</w:t>
      </w:r>
      <w:r w:rsidR="00B11814" w:rsidRPr="00AA134D">
        <w:rPr>
          <w:rFonts w:ascii="Arial" w:eastAsia="Times New Roman" w:hAnsi="Arial" w:cs="Arial"/>
          <w:sz w:val="24"/>
          <w:szCs w:val="24"/>
        </w:rPr>
        <w:t xml:space="preserve"> that both a performance reporting requirement that requires 4.7 CTAs to report performance of all trading programs or even a more limited requirement to disclose all 4.7 trading programs is overly broad </w:t>
      </w:r>
      <w:r w:rsidR="00FB7BFB" w:rsidRPr="00AA134D">
        <w:rPr>
          <w:rFonts w:ascii="Arial" w:hAnsi="Arial" w:cs="Arial"/>
          <w:sz w:val="24"/>
          <w:szCs w:val="24"/>
        </w:rPr>
        <w:t>because i</w:t>
      </w:r>
      <w:r w:rsidRPr="00AA134D">
        <w:rPr>
          <w:rFonts w:ascii="Arial" w:hAnsi="Arial" w:cs="Arial"/>
          <w:sz w:val="24"/>
          <w:szCs w:val="24"/>
        </w:rPr>
        <w:t>t is our understanding that some larger 4.7 CTAs have bespoke or tailored programs for each of their clients.</w:t>
      </w:r>
      <w:r w:rsidRPr="00071600">
        <w:rPr>
          <w:rFonts w:ascii="Arial" w:hAnsi="Arial" w:cs="Arial"/>
          <w:sz w:val="24"/>
          <w:szCs w:val="24"/>
        </w:rPr>
        <w:t xml:space="preserve">  Requiring that 4.7 CTAs disclose the performance of all their </w:t>
      </w:r>
      <w:r w:rsidR="00AE3775">
        <w:rPr>
          <w:rFonts w:ascii="Arial" w:hAnsi="Arial" w:cs="Arial"/>
          <w:sz w:val="24"/>
          <w:szCs w:val="24"/>
        </w:rPr>
        <w:t>4.7</w:t>
      </w:r>
      <w:r w:rsidRPr="00071600">
        <w:rPr>
          <w:rFonts w:ascii="Arial" w:hAnsi="Arial" w:cs="Arial"/>
          <w:sz w:val="24"/>
          <w:szCs w:val="24"/>
        </w:rPr>
        <w:t xml:space="preserve"> trading programs to QEP clients would require 4.7 CTAs to disclose a significant amount of performance information that may not be relevant to a prospective or current client.  NFA recommends that the performance disclosure be limited to the performance of the program being offered to the prospective QEP client.  </w:t>
      </w:r>
    </w:p>
    <w:p w14:paraId="34EDD7BA" w14:textId="0E09D7FA" w:rsidR="00AF2072" w:rsidRDefault="00AF2072" w:rsidP="00D85E42">
      <w:pPr>
        <w:spacing w:after="0" w:line="240" w:lineRule="auto"/>
        <w:ind w:firstLine="1440"/>
        <w:rPr>
          <w:rFonts w:ascii="Arial" w:hAnsi="Arial" w:cs="Arial"/>
          <w:sz w:val="24"/>
          <w:szCs w:val="24"/>
        </w:rPr>
      </w:pPr>
      <w:r w:rsidRPr="007402E5">
        <w:rPr>
          <w:rFonts w:ascii="Arial" w:hAnsi="Arial" w:cs="Arial"/>
          <w:sz w:val="24"/>
          <w:szCs w:val="24"/>
        </w:rPr>
        <w:lastRenderedPageBreak/>
        <w:t>Finally, NFA supports the Commission's proposal to</w:t>
      </w:r>
      <w:r w:rsidR="0050520D" w:rsidRPr="007402E5">
        <w:rPr>
          <w:rFonts w:ascii="Arial" w:hAnsi="Arial" w:cs="Arial"/>
          <w:sz w:val="24"/>
          <w:szCs w:val="24"/>
        </w:rPr>
        <w:t xml:space="preserve"> permit CPOs of 4.7 pools that are Funds of Funds to distribute monthly account statements within 45 days of month end, provided the CPO notifies </w:t>
      </w:r>
      <w:r w:rsidR="00B42413">
        <w:rPr>
          <w:rFonts w:ascii="Arial" w:hAnsi="Arial" w:cs="Arial"/>
          <w:sz w:val="24"/>
          <w:szCs w:val="24"/>
        </w:rPr>
        <w:t xml:space="preserve">a </w:t>
      </w:r>
      <w:r w:rsidR="0050520D" w:rsidRPr="007402E5">
        <w:rPr>
          <w:rFonts w:ascii="Arial" w:hAnsi="Arial" w:cs="Arial"/>
          <w:sz w:val="24"/>
          <w:szCs w:val="24"/>
        </w:rPr>
        <w:t>pool</w:t>
      </w:r>
      <w:r w:rsidR="00B42413">
        <w:rPr>
          <w:rFonts w:ascii="Arial" w:hAnsi="Arial" w:cs="Arial"/>
          <w:sz w:val="24"/>
          <w:szCs w:val="24"/>
        </w:rPr>
        <w:t>'s</w:t>
      </w:r>
      <w:r w:rsidR="0050520D" w:rsidRPr="007402E5">
        <w:rPr>
          <w:rFonts w:ascii="Arial" w:hAnsi="Arial" w:cs="Arial"/>
          <w:sz w:val="24"/>
          <w:szCs w:val="24"/>
        </w:rPr>
        <w:t xml:space="preserve"> participants.  As the Commission notes, CPOs of Funds of Funds generally do not receive the information needed to prepare its account statement</w:t>
      </w:r>
      <w:r w:rsidR="00B42413">
        <w:rPr>
          <w:rFonts w:ascii="Arial" w:hAnsi="Arial" w:cs="Arial"/>
          <w:sz w:val="24"/>
          <w:szCs w:val="24"/>
        </w:rPr>
        <w:t>s</w:t>
      </w:r>
      <w:r w:rsidR="0050520D" w:rsidRPr="007402E5">
        <w:rPr>
          <w:rFonts w:ascii="Arial" w:hAnsi="Arial" w:cs="Arial"/>
          <w:sz w:val="24"/>
          <w:szCs w:val="24"/>
        </w:rPr>
        <w:t xml:space="preserve"> in time to meet the current 30-day deadline, which has resulted in the Commission issuing numerous exemptive letters providing relief from this requirement.  NFA believes that this amendment will ease the burden on both </w:t>
      </w:r>
      <w:r w:rsidR="00D82DCD" w:rsidRPr="007402E5">
        <w:rPr>
          <w:rFonts w:ascii="Arial" w:hAnsi="Arial" w:cs="Arial"/>
          <w:sz w:val="24"/>
          <w:szCs w:val="24"/>
        </w:rPr>
        <w:t xml:space="preserve">CPOs operating </w:t>
      </w:r>
      <w:r w:rsidR="0050520D" w:rsidRPr="007402E5">
        <w:rPr>
          <w:rFonts w:ascii="Arial" w:hAnsi="Arial" w:cs="Arial"/>
          <w:sz w:val="24"/>
          <w:szCs w:val="24"/>
        </w:rPr>
        <w:t>Funds of Funds and Commission staff, without sacrificing any customer protections.</w:t>
      </w:r>
    </w:p>
    <w:p w14:paraId="72E3D576" w14:textId="29810761" w:rsidR="0050520D" w:rsidRDefault="0050520D" w:rsidP="00D85E42">
      <w:pPr>
        <w:spacing w:after="0" w:line="240" w:lineRule="auto"/>
        <w:ind w:firstLine="1440"/>
        <w:rPr>
          <w:rFonts w:ascii="Arial" w:hAnsi="Arial" w:cs="Arial"/>
          <w:sz w:val="24"/>
          <w:szCs w:val="24"/>
        </w:rPr>
      </w:pPr>
    </w:p>
    <w:p w14:paraId="5604E349" w14:textId="4242D1C2" w:rsidR="0050520D" w:rsidRDefault="0050520D" w:rsidP="00D85E42">
      <w:pPr>
        <w:spacing w:after="0" w:line="240" w:lineRule="auto"/>
        <w:ind w:firstLine="1440"/>
        <w:rPr>
          <w:rFonts w:ascii="Arial" w:hAnsi="Arial" w:cs="Arial"/>
          <w:sz w:val="24"/>
          <w:szCs w:val="24"/>
        </w:rPr>
      </w:pPr>
      <w:r>
        <w:rPr>
          <w:rFonts w:ascii="Arial" w:hAnsi="Arial" w:cs="Arial"/>
          <w:sz w:val="24"/>
          <w:szCs w:val="24"/>
        </w:rPr>
        <w:t xml:space="preserve">NFA appreciates the opportunity to comment on the Commission's proposal.  If you have any questions concerning this letter, please do not hesitate to contact </w:t>
      </w:r>
      <w:r w:rsidR="00C10E31">
        <w:rPr>
          <w:rFonts w:ascii="Arial" w:hAnsi="Arial" w:cs="Arial"/>
          <w:sz w:val="24"/>
          <w:szCs w:val="24"/>
        </w:rPr>
        <w:t xml:space="preserve">Kathleen Clapper, Managing Director, Compliance at </w:t>
      </w:r>
      <w:hyperlink r:id="rId9" w:history="1">
        <w:r w:rsidR="00C10E31" w:rsidRPr="007F6085">
          <w:rPr>
            <w:rStyle w:val="Hyperlink"/>
            <w:rFonts w:ascii="Arial" w:hAnsi="Arial" w:cs="Arial"/>
            <w:sz w:val="24"/>
            <w:szCs w:val="24"/>
          </w:rPr>
          <w:t>kclapper@nfa.futures.org</w:t>
        </w:r>
      </w:hyperlink>
      <w:r w:rsidR="00C10E31">
        <w:rPr>
          <w:rFonts w:ascii="Arial" w:hAnsi="Arial" w:cs="Arial"/>
          <w:sz w:val="24"/>
          <w:szCs w:val="24"/>
        </w:rPr>
        <w:t xml:space="preserve"> or Maria McHenry, Director, Compliance at </w:t>
      </w:r>
      <w:hyperlink r:id="rId10" w:history="1">
        <w:r w:rsidR="00C10E31" w:rsidRPr="007F6085">
          <w:rPr>
            <w:rStyle w:val="Hyperlink"/>
            <w:rFonts w:ascii="Arial" w:hAnsi="Arial" w:cs="Arial"/>
            <w:sz w:val="24"/>
            <w:szCs w:val="24"/>
          </w:rPr>
          <w:t>mmchenry@nfa.futures.org</w:t>
        </w:r>
      </w:hyperlink>
      <w:r w:rsidR="00C10E31">
        <w:rPr>
          <w:rFonts w:ascii="Arial" w:hAnsi="Arial" w:cs="Arial"/>
          <w:sz w:val="24"/>
          <w:szCs w:val="24"/>
        </w:rPr>
        <w:t xml:space="preserve">. </w:t>
      </w:r>
      <w:r>
        <w:rPr>
          <w:rFonts w:ascii="Arial" w:hAnsi="Arial" w:cs="Arial"/>
          <w:sz w:val="24"/>
          <w:szCs w:val="24"/>
        </w:rPr>
        <w:t xml:space="preserve"> </w:t>
      </w:r>
    </w:p>
    <w:p w14:paraId="123DE42D" w14:textId="6B673EED" w:rsidR="00D85E42" w:rsidRDefault="00D85E42" w:rsidP="00D85E42">
      <w:pPr>
        <w:spacing w:after="0" w:line="240" w:lineRule="auto"/>
        <w:ind w:firstLine="1440"/>
        <w:rPr>
          <w:rFonts w:ascii="Arial" w:hAnsi="Arial" w:cs="Arial"/>
          <w:sz w:val="24"/>
          <w:szCs w:val="24"/>
        </w:rPr>
      </w:pPr>
    </w:p>
    <w:p w14:paraId="5F405DE2" w14:textId="77777777" w:rsidR="00D85E42" w:rsidRDefault="00D85E42" w:rsidP="00D85E42">
      <w:pPr>
        <w:spacing w:after="0" w:line="240" w:lineRule="auto"/>
        <w:ind w:firstLine="1440"/>
        <w:rPr>
          <w:rFonts w:ascii="Arial" w:hAnsi="Arial" w:cs="Arial"/>
          <w:sz w:val="24"/>
          <w:szCs w:val="24"/>
        </w:rPr>
      </w:pPr>
    </w:p>
    <w:p w14:paraId="500EBFA6" w14:textId="505FED6C" w:rsidR="0050360E" w:rsidRDefault="0050360E" w:rsidP="0050360E">
      <w:pPr>
        <w:spacing w:after="0" w:line="240" w:lineRule="auto"/>
        <w:ind w:firstLine="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F760B">
        <w:rPr>
          <w:rFonts w:ascii="Arial" w:hAnsi="Arial" w:cs="Arial"/>
          <w:sz w:val="24"/>
          <w:szCs w:val="24"/>
        </w:rPr>
        <w:tab/>
      </w:r>
      <w:r>
        <w:rPr>
          <w:rFonts w:ascii="Arial" w:hAnsi="Arial" w:cs="Arial"/>
          <w:sz w:val="24"/>
          <w:szCs w:val="24"/>
        </w:rPr>
        <w:tab/>
        <w:t>Respectfully submitted,</w:t>
      </w:r>
    </w:p>
    <w:p w14:paraId="0B241AE2" w14:textId="41179D7D" w:rsidR="000A0E7F" w:rsidRDefault="005C2942" w:rsidP="0050360E">
      <w:pPr>
        <w:spacing w:after="0" w:line="240" w:lineRule="auto"/>
        <w:ind w:firstLine="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14:anchorId="00EAB100" wp14:editId="581BE471">
            <wp:extent cx="2372995" cy="5727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995" cy="572770"/>
                    </a:xfrm>
                    <a:prstGeom prst="rect">
                      <a:avLst/>
                    </a:prstGeom>
                    <a:noFill/>
                    <a:ln>
                      <a:noFill/>
                    </a:ln>
                  </pic:spPr>
                </pic:pic>
              </a:graphicData>
            </a:graphic>
          </wp:inline>
        </w:drawing>
      </w:r>
    </w:p>
    <w:p w14:paraId="37ABBFCC" w14:textId="40541E54" w:rsidR="0050360E" w:rsidRDefault="0050360E" w:rsidP="0050360E">
      <w:pPr>
        <w:spacing w:after="0" w:line="240" w:lineRule="auto"/>
        <w:ind w:firstLine="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760B">
        <w:rPr>
          <w:rFonts w:ascii="Arial" w:hAnsi="Arial" w:cs="Arial"/>
          <w:sz w:val="24"/>
          <w:szCs w:val="24"/>
        </w:rPr>
        <w:tab/>
      </w:r>
      <w:r>
        <w:rPr>
          <w:rFonts w:ascii="Arial" w:hAnsi="Arial" w:cs="Arial"/>
          <w:sz w:val="24"/>
          <w:szCs w:val="24"/>
        </w:rPr>
        <w:t>Carol A. Wooding</w:t>
      </w:r>
    </w:p>
    <w:p w14:paraId="6615E44F" w14:textId="761C43EB" w:rsidR="0050360E" w:rsidRDefault="0050360E" w:rsidP="0050360E">
      <w:pPr>
        <w:spacing w:after="0" w:line="240" w:lineRule="auto"/>
        <w:ind w:firstLine="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760B">
        <w:rPr>
          <w:rFonts w:ascii="Arial" w:hAnsi="Arial" w:cs="Arial"/>
          <w:sz w:val="24"/>
          <w:szCs w:val="24"/>
        </w:rPr>
        <w:tab/>
      </w:r>
      <w:r>
        <w:rPr>
          <w:rFonts w:ascii="Arial" w:hAnsi="Arial" w:cs="Arial"/>
          <w:sz w:val="24"/>
          <w:szCs w:val="24"/>
        </w:rPr>
        <w:t>Senior Vice President</w:t>
      </w:r>
    </w:p>
    <w:p w14:paraId="554C3BE2" w14:textId="498CDCFF" w:rsidR="0050360E" w:rsidRDefault="0050360E" w:rsidP="00CF760B">
      <w:pPr>
        <w:spacing w:after="0" w:line="240" w:lineRule="auto"/>
        <w:ind w:left="3600" w:firstLine="1440"/>
        <w:rPr>
          <w:rFonts w:ascii="Arial" w:hAnsi="Arial" w:cs="Arial"/>
          <w:sz w:val="24"/>
          <w:szCs w:val="24"/>
        </w:rPr>
      </w:pPr>
      <w:r>
        <w:rPr>
          <w:rFonts w:ascii="Arial" w:hAnsi="Arial" w:cs="Arial"/>
          <w:sz w:val="24"/>
          <w:szCs w:val="24"/>
        </w:rPr>
        <w:t>General Counsel and Secretary</w:t>
      </w:r>
    </w:p>
    <w:sectPr w:rsidR="0050360E" w:rsidSect="00CF760B">
      <w:headerReference w:type="even" r:id="rId12"/>
      <w:headerReference w:type="default" r:id="rId13"/>
      <w:footerReference w:type="even" r:id="rId14"/>
      <w:footerReference w:type="default" r:id="rId15"/>
      <w:headerReference w:type="first" r:id="rId16"/>
      <w:footerReference w:type="first" r:id="rId17"/>
      <w:pgSz w:w="12240" w:h="15840" w:code="1"/>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1886" w14:textId="77777777" w:rsidR="00876BE8" w:rsidRDefault="00876BE8" w:rsidP="0050360E">
      <w:pPr>
        <w:spacing w:after="0" w:line="240" w:lineRule="auto"/>
      </w:pPr>
      <w:r>
        <w:separator/>
      </w:r>
    </w:p>
  </w:endnote>
  <w:endnote w:type="continuationSeparator" w:id="0">
    <w:p w14:paraId="5B27DE57" w14:textId="77777777" w:rsidR="00876BE8" w:rsidRDefault="00876BE8" w:rsidP="0050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DAE3" w14:textId="77777777" w:rsidR="00AA066B" w:rsidRDefault="00AA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C3FF" w14:textId="54E4C983" w:rsidR="0050360E" w:rsidRPr="001C4D10" w:rsidRDefault="0050360E">
    <w:pPr>
      <w:pStyle w:val="Footer"/>
      <w:rPr>
        <w:rFonts w:ascii="Arial" w:hAnsi="Arial" w:cs="Arial"/>
      </w:rPr>
    </w:pPr>
  </w:p>
  <w:p w14:paraId="1A24011E" w14:textId="652329DC" w:rsidR="001C4D10" w:rsidRPr="001C4D10" w:rsidRDefault="001C4D10" w:rsidP="001C4D10">
    <w:pPr>
      <w:pStyle w:val="Footer"/>
      <w:tabs>
        <w:tab w:val="clear" w:pos="9360"/>
        <w:tab w:val="right" w:pos="10080"/>
      </w:tabs>
      <w:ind w:left="-1080" w:right="-720"/>
      <w:jc w:val="center"/>
      <w:rPr>
        <w:rFonts w:ascii="Arial" w:hAnsi="Arial" w:cs="Arial"/>
        <w:color w:val="2F5496" w:themeColor="accent1" w:themeShade="BF"/>
        <w:sz w:val="24"/>
        <w:szCs w:val="24"/>
      </w:rPr>
    </w:pPr>
    <w:r w:rsidRPr="001C4D10">
      <w:rPr>
        <w:rFonts w:ascii="Arial" w:hAnsi="Arial" w:cs="Arial"/>
        <w:color w:val="2F5496" w:themeColor="accent1" w:themeShade="BF"/>
        <w:sz w:val="24"/>
        <w:szCs w:val="24"/>
      </w:rPr>
      <w:t>320 S. Canal Street</w:t>
    </w:r>
    <w:r>
      <w:rPr>
        <w:rFonts w:ascii="Arial" w:hAnsi="Arial" w:cs="Arial"/>
        <w:color w:val="2F5496" w:themeColor="accent1" w:themeShade="BF"/>
        <w:sz w:val="24"/>
        <w:szCs w:val="24"/>
      </w:rPr>
      <w:t xml:space="preserve">  I </w:t>
    </w:r>
    <w:r w:rsidRPr="001C4D10">
      <w:rPr>
        <w:rFonts w:ascii="Arial" w:hAnsi="Arial" w:cs="Arial"/>
        <w:color w:val="2F5496" w:themeColor="accent1" w:themeShade="BF"/>
        <w:sz w:val="24"/>
        <w:szCs w:val="24"/>
      </w:rPr>
      <w:t xml:space="preserve"> Suite 2400  </w:t>
    </w:r>
    <w:r w:rsidR="00CF760B">
      <w:rPr>
        <w:rFonts w:ascii="Arial" w:hAnsi="Arial" w:cs="Arial"/>
        <w:color w:val="2F5496" w:themeColor="accent1" w:themeShade="BF"/>
        <w:sz w:val="24"/>
        <w:szCs w:val="24"/>
      </w:rPr>
      <w:t>I</w:t>
    </w:r>
    <w:r w:rsidRPr="001C4D10">
      <w:rPr>
        <w:rFonts w:ascii="Arial" w:hAnsi="Arial" w:cs="Arial"/>
        <w:color w:val="2F5496" w:themeColor="accent1" w:themeShade="BF"/>
        <w:sz w:val="24"/>
        <w:szCs w:val="24"/>
      </w:rPr>
      <w:t xml:space="preserve">  Chicago, IL 60606  </w:t>
    </w:r>
    <w:r w:rsidR="00CF760B">
      <w:rPr>
        <w:rFonts w:ascii="Arial" w:hAnsi="Arial" w:cs="Arial"/>
        <w:color w:val="2F5496" w:themeColor="accent1" w:themeShade="BF"/>
        <w:sz w:val="24"/>
        <w:szCs w:val="24"/>
      </w:rPr>
      <w:t>I</w:t>
    </w:r>
    <w:r w:rsidRPr="001C4D10">
      <w:rPr>
        <w:rFonts w:ascii="Arial" w:hAnsi="Arial" w:cs="Arial"/>
        <w:color w:val="2F5496" w:themeColor="accent1" w:themeShade="BF"/>
        <w:sz w:val="24"/>
        <w:szCs w:val="24"/>
      </w:rPr>
      <w:t xml:space="preserve">  312-781-1300  </w:t>
    </w:r>
    <w:r w:rsidR="00CF760B">
      <w:rPr>
        <w:rFonts w:ascii="Arial" w:hAnsi="Arial" w:cs="Arial"/>
        <w:color w:val="2F5496" w:themeColor="accent1" w:themeShade="BF"/>
        <w:sz w:val="24"/>
        <w:szCs w:val="24"/>
      </w:rPr>
      <w:t>I</w:t>
    </w:r>
    <w:r w:rsidRPr="001C4D10">
      <w:rPr>
        <w:rFonts w:ascii="Arial" w:hAnsi="Arial" w:cs="Arial"/>
        <w:color w:val="2F5496" w:themeColor="accent1" w:themeShade="BF"/>
        <w:sz w:val="24"/>
        <w:szCs w:val="24"/>
      </w:rPr>
      <w:t xml:space="preserve">  www.nfa.futures.org</w:t>
    </w:r>
  </w:p>
  <w:p w14:paraId="68138DEA" w14:textId="77777777" w:rsidR="001C4D10" w:rsidRPr="001C4D10" w:rsidRDefault="001C4D10">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A3FB" w14:textId="77777777" w:rsidR="00AA066B" w:rsidRDefault="00AA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6EF9" w14:textId="77777777" w:rsidR="00876BE8" w:rsidRDefault="00876BE8" w:rsidP="0050360E">
      <w:pPr>
        <w:spacing w:after="0" w:line="240" w:lineRule="auto"/>
      </w:pPr>
      <w:r>
        <w:separator/>
      </w:r>
    </w:p>
  </w:footnote>
  <w:footnote w:type="continuationSeparator" w:id="0">
    <w:p w14:paraId="50388CEF" w14:textId="77777777" w:rsidR="00876BE8" w:rsidRDefault="00876BE8" w:rsidP="0050360E">
      <w:pPr>
        <w:spacing w:after="0" w:line="240" w:lineRule="auto"/>
      </w:pPr>
      <w:r>
        <w:continuationSeparator/>
      </w:r>
    </w:p>
  </w:footnote>
  <w:footnote w:id="1">
    <w:p w14:paraId="22ACE329" w14:textId="7A8686C4" w:rsidR="00D70103" w:rsidRDefault="00D70103">
      <w:pPr>
        <w:pStyle w:val="FootnoteText"/>
        <w:rPr>
          <w:rFonts w:ascii="Arial" w:hAnsi="Arial" w:cs="Arial"/>
        </w:rPr>
      </w:pPr>
      <w:r w:rsidRPr="00D70103">
        <w:rPr>
          <w:rStyle w:val="FootnoteReference"/>
          <w:rFonts w:ascii="Arial" w:hAnsi="Arial" w:cs="Arial"/>
        </w:rPr>
        <w:footnoteRef/>
      </w:r>
      <w:r w:rsidRPr="00D70103">
        <w:rPr>
          <w:rFonts w:ascii="Arial" w:hAnsi="Arial" w:cs="Arial"/>
        </w:rPr>
        <w:t xml:space="preserve"> See CFTC Regulation 4.7(a)(3). </w:t>
      </w:r>
    </w:p>
    <w:p w14:paraId="15ED0E28" w14:textId="77777777" w:rsidR="001F3FD1" w:rsidRPr="00D70103" w:rsidRDefault="001F3FD1">
      <w:pPr>
        <w:pStyle w:val="FootnoteText"/>
        <w:rPr>
          <w:rFonts w:ascii="Arial" w:hAnsi="Arial" w:cs="Arial"/>
        </w:rPr>
      </w:pPr>
    </w:p>
  </w:footnote>
  <w:footnote w:id="2">
    <w:p w14:paraId="6853D653" w14:textId="7D184DAE" w:rsidR="00037C49" w:rsidRPr="00464355" w:rsidRDefault="00037C49" w:rsidP="00037C49">
      <w:pPr>
        <w:pStyle w:val="FootnoteText"/>
        <w:rPr>
          <w:rFonts w:ascii="Arial" w:hAnsi="Arial" w:cs="Arial"/>
        </w:rPr>
      </w:pPr>
      <w:r w:rsidRPr="00464355">
        <w:rPr>
          <w:rStyle w:val="FootnoteReference"/>
          <w:rFonts w:ascii="Arial" w:hAnsi="Arial" w:cs="Arial"/>
        </w:rPr>
        <w:footnoteRef/>
      </w:r>
      <w:r w:rsidRPr="00464355">
        <w:rPr>
          <w:rFonts w:ascii="Arial" w:hAnsi="Arial" w:cs="Arial"/>
        </w:rPr>
        <w:t xml:space="preserve"> See CFTC Regulation 4.7(a)((1)(v).  In 1992, the Commission initially proposed thresholds of $5,000,000 for the Securities Portfolio Test and $1,000,000 for the Initial Margin and Premium Test and later adopted thresholds of $2,000,000 and $200,000, respectively. </w:t>
      </w:r>
    </w:p>
  </w:footnote>
  <w:footnote w:id="3">
    <w:p w14:paraId="70A8B3E2" w14:textId="77777777" w:rsidR="00B048DE" w:rsidRDefault="00A3235C">
      <w:pPr>
        <w:pStyle w:val="FootnoteText"/>
        <w:rPr>
          <w:rFonts w:ascii="Arial" w:hAnsi="Arial" w:cs="Arial"/>
        </w:rPr>
      </w:pPr>
      <w:r w:rsidRPr="001530E9">
        <w:rPr>
          <w:rStyle w:val="FootnoteReference"/>
          <w:rFonts w:ascii="Arial" w:hAnsi="Arial" w:cs="Arial"/>
        </w:rPr>
        <w:footnoteRef/>
      </w:r>
      <w:r w:rsidRPr="001530E9">
        <w:rPr>
          <w:rFonts w:ascii="Arial" w:hAnsi="Arial" w:cs="Arial"/>
        </w:rPr>
        <w:t xml:space="preserve"> For example, between 201</w:t>
      </w:r>
      <w:r w:rsidR="005C7392" w:rsidRPr="001530E9">
        <w:rPr>
          <w:rFonts w:ascii="Arial" w:hAnsi="Arial" w:cs="Arial"/>
        </w:rPr>
        <w:t>7</w:t>
      </w:r>
      <w:r w:rsidRPr="001530E9">
        <w:rPr>
          <w:rFonts w:ascii="Arial" w:hAnsi="Arial" w:cs="Arial"/>
        </w:rPr>
        <w:t xml:space="preserve"> and 202</w:t>
      </w:r>
      <w:r w:rsidR="005C7392" w:rsidRPr="001530E9">
        <w:rPr>
          <w:rFonts w:ascii="Arial" w:hAnsi="Arial" w:cs="Arial"/>
        </w:rPr>
        <w:t>2</w:t>
      </w:r>
      <w:r w:rsidRPr="001530E9">
        <w:rPr>
          <w:rFonts w:ascii="Arial" w:hAnsi="Arial" w:cs="Arial"/>
        </w:rPr>
        <w:t xml:space="preserve">, </w:t>
      </w:r>
      <w:r w:rsidR="001530E9">
        <w:rPr>
          <w:rFonts w:ascii="Arial" w:hAnsi="Arial" w:cs="Arial"/>
        </w:rPr>
        <w:t xml:space="preserve">the number of </w:t>
      </w:r>
      <w:r w:rsidRPr="001530E9">
        <w:rPr>
          <w:rFonts w:ascii="Arial" w:hAnsi="Arial" w:cs="Arial"/>
        </w:rPr>
        <w:t>CPOs</w:t>
      </w:r>
      <w:r w:rsidR="00D82DCD" w:rsidRPr="001530E9">
        <w:rPr>
          <w:rFonts w:ascii="Arial" w:hAnsi="Arial" w:cs="Arial"/>
        </w:rPr>
        <w:t xml:space="preserve"> and CTAs</w:t>
      </w:r>
      <w:r w:rsidRPr="001530E9">
        <w:rPr>
          <w:rFonts w:ascii="Arial" w:hAnsi="Arial" w:cs="Arial"/>
        </w:rPr>
        <w:t xml:space="preserve"> </w:t>
      </w:r>
      <w:r w:rsidR="00D82DCD" w:rsidRPr="001530E9">
        <w:rPr>
          <w:rFonts w:ascii="Arial" w:hAnsi="Arial" w:cs="Arial"/>
        </w:rPr>
        <w:t>relying on a 4.7 exemption</w:t>
      </w:r>
      <w:r w:rsidR="00B15CF4">
        <w:rPr>
          <w:rFonts w:ascii="Arial" w:hAnsi="Arial" w:cs="Arial"/>
        </w:rPr>
        <w:t xml:space="preserve"> has each declined over 15%, and the number of 4.7 pools has declined over 6%. </w:t>
      </w:r>
    </w:p>
    <w:p w14:paraId="6DF94AB5" w14:textId="60C49583" w:rsidR="00A3235C" w:rsidRPr="001530E9" w:rsidRDefault="00D82DCD">
      <w:pPr>
        <w:pStyle w:val="FootnoteText"/>
        <w:rPr>
          <w:rFonts w:ascii="Arial" w:hAnsi="Arial" w:cs="Arial"/>
        </w:rPr>
      </w:pPr>
      <w:r w:rsidRPr="001530E9">
        <w:rPr>
          <w:rFonts w:ascii="Arial" w:hAnsi="Arial" w:cs="Arial"/>
        </w:rPr>
        <w:t xml:space="preserve">  </w:t>
      </w:r>
    </w:p>
  </w:footnote>
  <w:footnote w:id="4">
    <w:p w14:paraId="1D993EC3" w14:textId="4F9DAB8A" w:rsidR="00B048DE" w:rsidRPr="00B048DE" w:rsidRDefault="00B048DE">
      <w:pPr>
        <w:pStyle w:val="FootnoteText"/>
        <w:rPr>
          <w:rFonts w:ascii="Arial" w:hAnsi="Arial" w:cs="Arial"/>
        </w:rPr>
      </w:pPr>
      <w:r w:rsidRPr="00B048DE">
        <w:rPr>
          <w:rStyle w:val="FootnoteReference"/>
          <w:rFonts w:ascii="Arial" w:hAnsi="Arial" w:cs="Arial"/>
        </w:rPr>
        <w:footnoteRef/>
      </w:r>
      <w:r w:rsidRPr="00B048DE">
        <w:rPr>
          <w:rFonts w:ascii="Arial" w:hAnsi="Arial" w:cs="Arial"/>
        </w:rPr>
        <w:t xml:space="preserve"> Alternatively, CPOs with pool participants that no longer meet the QEP definition would likely have to convert that pool to a non-exempt pool, which would increase operational and compliance costs that would be passed on to investors.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68B4" w14:textId="77777777" w:rsidR="00AA066B" w:rsidRDefault="00AA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3747" w14:textId="45B23743" w:rsidR="00AA066B" w:rsidRDefault="00AA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E20B" w14:textId="77777777" w:rsidR="00AA066B" w:rsidRDefault="00AA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A4EE12"/>
    <w:lvl w:ilvl="0">
      <w:start w:val="1"/>
      <w:numFmt w:val="bullet"/>
      <w:pStyle w:val="ListBullet"/>
      <w:lvlText w:val=""/>
      <w:lvlJc w:val="left"/>
      <w:pPr>
        <w:tabs>
          <w:tab w:val="num" w:pos="360"/>
        </w:tabs>
        <w:ind w:left="360" w:hanging="360"/>
      </w:pPr>
      <w:rPr>
        <w:rFonts w:ascii="Symbol" w:hAnsi="Symbol" w:hint="default"/>
      </w:rPr>
    </w:lvl>
  </w:abstractNum>
  <w:num w:numId="1" w16cid:durableId="112527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0E"/>
    <w:rsid w:val="00026569"/>
    <w:rsid w:val="0003351B"/>
    <w:rsid w:val="00034FEC"/>
    <w:rsid w:val="00037C49"/>
    <w:rsid w:val="00066CBD"/>
    <w:rsid w:val="00071600"/>
    <w:rsid w:val="0007470A"/>
    <w:rsid w:val="00082637"/>
    <w:rsid w:val="000836F7"/>
    <w:rsid w:val="00095B72"/>
    <w:rsid w:val="000A0E7F"/>
    <w:rsid w:val="000A18C9"/>
    <w:rsid w:val="000D45E6"/>
    <w:rsid w:val="000E2466"/>
    <w:rsid w:val="00121352"/>
    <w:rsid w:val="00125C92"/>
    <w:rsid w:val="001530E9"/>
    <w:rsid w:val="001920B0"/>
    <w:rsid w:val="00195452"/>
    <w:rsid w:val="001C2264"/>
    <w:rsid w:val="001C4D10"/>
    <w:rsid w:val="001C6E83"/>
    <w:rsid w:val="001F3FD1"/>
    <w:rsid w:val="00226F5A"/>
    <w:rsid w:val="00285A05"/>
    <w:rsid w:val="00291F53"/>
    <w:rsid w:val="002953AD"/>
    <w:rsid w:val="002A4E1D"/>
    <w:rsid w:val="002D106D"/>
    <w:rsid w:val="002D6D4A"/>
    <w:rsid w:val="002F08A7"/>
    <w:rsid w:val="00311391"/>
    <w:rsid w:val="00317C79"/>
    <w:rsid w:val="003204CF"/>
    <w:rsid w:val="003306F9"/>
    <w:rsid w:val="0036441D"/>
    <w:rsid w:val="00383613"/>
    <w:rsid w:val="003B1B5B"/>
    <w:rsid w:val="003B4E1B"/>
    <w:rsid w:val="003C3876"/>
    <w:rsid w:val="003C3A0A"/>
    <w:rsid w:val="003D418D"/>
    <w:rsid w:val="003D7C9F"/>
    <w:rsid w:val="003E237B"/>
    <w:rsid w:val="003E70FF"/>
    <w:rsid w:val="003F02AD"/>
    <w:rsid w:val="0043372E"/>
    <w:rsid w:val="004439AE"/>
    <w:rsid w:val="00464355"/>
    <w:rsid w:val="004A1FFC"/>
    <w:rsid w:val="004A52A9"/>
    <w:rsid w:val="004C0C82"/>
    <w:rsid w:val="004F6BFD"/>
    <w:rsid w:val="0050193B"/>
    <w:rsid w:val="0050360E"/>
    <w:rsid w:val="0050520D"/>
    <w:rsid w:val="00510C47"/>
    <w:rsid w:val="00513DAE"/>
    <w:rsid w:val="00526D7C"/>
    <w:rsid w:val="005355CE"/>
    <w:rsid w:val="00536EF6"/>
    <w:rsid w:val="00537B3E"/>
    <w:rsid w:val="005807E2"/>
    <w:rsid w:val="005A7A1B"/>
    <w:rsid w:val="005B5CB9"/>
    <w:rsid w:val="005C2942"/>
    <w:rsid w:val="005C7392"/>
    <w:rsid w:val="005D0D26"/>
    <w:rsid w:val="005F4CF2"/>
    <w:rsid w:val="0060062D"/>
    <w:rsid w:val="00667B4D"/>
    <w:rsid w:val="0067637B"/>
    <w:rsid w:val="00691F5F"/>
    <w:rsid w:val="006A671B"/>
    <w:rsid w:val="006B7EF6"/>
    <w:rsid w:val="006B7F14"/>
    <w:rsid w:val="006E01DF"/>
    <w:rsid w:val="006E4FC7"/>
    <w:rsid w:val="007402E5"/>
    <w:rsid w:val="00755A4F"/>
    <w:rsid w:val="00765269"/>
    <w:rsid w:val="0076655B"/>
    <w:rsid w:val="00793896"/>
    <w:rsid w:val="007A309B"/>
    <w:rsid w:val="007E1BDC"/>
    <w:rsid w:val="00812384"/>
    <w:rsid w:val="008158B5"/>
    <w:rsid w:val="00845B65"/>
    <w:rsid w:val="00875148"/>
    <w:rsid w:val="00876BE8"/>
    <w:rsid w:val="008830EC"/>
    <w:rsid w:val="008D2F1E"/>
    <w:rsid w:val="00906AB7"/>
    <w:rsid w:val="00907CA0"/>
    <w:rsid w:val="00915851"/>
    <w:rsid w:val="00941727"/>
    <w:rsid w:val="0095387B"/>
    <w:rsid w:val="00955578"/>
    <w:rsid w:val="00967059"/>
    <w:rsid w:val="00984BA6"/>
    <w:rsid w:val="009A41AE"/>
    <w:rsid w:val="00A07DAF"/>
    <w:rsid w:val="00A3089C"/>
    <w:rsid w:val="00A3235C"/>
    <w:rsid w:val="00A51477"/>
    <w:rsid w:val="00A6509F"/>
    <w:rsid w:val="00A76D37"/>
    <w:rsid w:val="00AA066B"/>
    <w:rsid w:val="00AA134D"/>
    <w:rsid w:val="00AC43F4"/>
    <w:rsid w:val="00AE17A9"/>
    <w:rsid w:val="00AE3775"/>
    <w:rsid w:val="00AF2072"/>
    <w:rsid w:val="00B048DE"/>
    <w:rsid w:val="00B11814"/>
    <w:rsid w:val="00B15CF4"/>
    <w:rsid w:val="00B42413"/>
    <w:rsid w:val="00B618CC"/>
    <w:rsid w:val="00B61D79"/>
    <w:rsid w:val="00B7001A"/>
    <w:rsid w:val="00B879AB"/>
    <w:rsid w:val="00BB3209"/>
    <w:rsid w:val="00BB700B"/>
    <w:rsid w:val="00BC1652"/>
    <w:rsid w:val="00BC5637"/>
    <w:rsid w:val="00BD687F"/>
    <w:rsid w:val="00C10E31"/>
    <w:rsid w:val="00C1471F"/>
    <w:rsid w:val="00C44324"/>
    <w:rsid w:val="00C520B3"/>
    <w:rsid w:val="00C71304"/>
    <w:rsid w:val="00C8308D"/>
    <w:rsid w:val="00CB3321"/>
    <w:rsid w:val="00CC4C5A"/>
    <w:rsid w:val="00CC7C2C"/>
    <w:rsid w:val="00CF760B"/>
    <w:rsid w:val="00D10FF5"/>
    <w:rsid w:val="00D3118C"/>
    <w:rsid w:val="00D70103"/>
    <w:rsid w:val="00D82DCD"/>
    <w:rsid w:val="00D85E42"/>
    <w:rsid w:val="00D9432A"/>
    <w:rsid w:val="00DA4BD6"/>
    <w:rsid w:val="00DA53FC"/>
    <w:rsid w:val="00DA63C8"/>
    <w:rsid w:val="00DE3F60"/>
    <w:rsid w:val="00DF01A1"/>
    <w:rsid w:val="00E04F5E"/>
    <w:rsid w:val="00E23533"/>
    <w:rsid w:val="00E30CEB"/>
    <w:rsid w:val="00E30DA5"/>
    <w:rsid w:val="00E32F10"/>
    <w:rsid w:val="00E46DA7"/>
    <w:rsid w:val="00E61076"/>
    <w:rsid w:val="00E678BF"/>
    <w:rsid w:val="00E745D3"/>
    <w:rsid w:val="00E83DAD"/>
    <w:rsid w:val="00E84CC4"/>
    <w:rsid w:val="00E96681"/>
    <w:rsid w:val="00EB4D0E"/>
    <w:rsid w:val="00EB730B"/>
    <w:rsid w:val="00EC34ED"/>
    <w:rsid w:val="00EE6799"/>
    <w:rsid w:val="00EF3E8C"/>
    <w:rsid w:val="00EF54AD"/>
    <w:rsid w:val="00EF78A7"/>
    <w:rsid w:val="00F1571E"/>
    <w:rsid w:val="00F26D3E"/>
    <w:rsid w:val="00F27318"/>
    <w:rsid w:val="00F34BB6"/>
    <w:rsid w:val="00F37108"/>
    <w:rsid w:val="00F41BCE"/>
    <w:rsid w:val="00F70250"/>
    <w:rsid w:val="00F80BBB"/>
    <w:rsid w:val="00F91913"/>
    <w:rsid w:val="00FA197D"/>
    <w:rsid w:val="00FB410C"/>
    <w:rsid w:val="00FB7BFB"/>
    <w:rsid w:val="00FD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D9EA"/>
  <w15:chartTrackingRefBased/>
  <w15:docId w15:val="{4E9E29F8-E448-47BB-826E-52E7D04F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60E"/>
    <w:rPr>
      <w:color w:val="0563C1" w:themeColor="hyperlink"/>
      <w:u w:val="single"/>
    </w:rPr>
  </w:style>
  <w:style w:type="character" w:styleId="UnresolvedMention">
    <w:name w:val="Unresolved Mention"/>
    <w:basedOn w:val="DefaultParagraphFont"/>
    <w:uiPriority w:val="99"/>
    <w:semiHidden/>
    <w:unhideWhenUsed/>
    <w:rsid w:val="0050360E"/>
    <w:rPr>
      <w:color w:val="605E5C"/>
      <w:shd w:val="clear" w:color="auto" w:fill="E1DFDD"/>
    </w:rPr>
  </w:style>
  <w:style w:type="paragraph" w:styleId="Header">
    <w:name w:val="header"/>
    <w:basedOn w:val="Normal"/>
    <w:link w:val="HeaderChar"/>
    <w:uiPriority w:val="99"/>
    <w:unhideWhenUsed/>
    <w:rsid w:val="0050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0E"/>
  </w:style>
  <w:style w:type="paragraph" w:styleId="Footer">
    <w:name w:val="footer"/>
    <w:basedOn w:val="Normal"/>
    <w:link w:val="FooterChar"/>
    <w:uiPriority w:val="99"/>
    <w:unhideWhenUsed/>
    <w:rsid w:val="0050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0E"/>
  </w:style>
  <w:style w:type="character" w:styleId="CommentReference">
    <w:name w:val="annotation reference"/>
    <w:basedOn w:val="DefaultParagraphFont"/>
    <w:uiPriority w:val="99"/>
    <w:semiHidden/>
    <w:unhideWhenUsed/>
    <w:rsid w:val="0067637B"/>
    <w:rPr>
      <w:sz w:val="16"/>
      <w:szCs w:val="16"/>
    </w:rPr>
  </w:style>
  <w:style w:type="paragraph" w:styleId="CommentText">
    <w:name w:val="annotation text"/>
    <w:basedOn w:val="Normal"/>
    <w:link w:val="CommentTextChar"/>
    <w:uiPriority w:val="99"/>
    <w:unhideWhenUsed/>
    <w:rsid w:val="0067637B"/>
    <w:pPr>
      <w:spacing w:line="240" w:lineRule="auto"/>
    </w:pPr>
    <w:rPr>
      <w:sz w:val="20"/>
      <w:szCs w:val="20"/>
    </w:rPr>
  </w:style>
  <w:style w:type="character" w:customStyle="1" w:styleId="CommentTextChar">
    <w:name w:val="Comment Text Char"/>
    <w:basedOn w:val="DefaultParagraphFont"/>
    <w:link w:val="CommentText"/>
    <w:uiPriority w:val="99"/>
    <w:rsid w:val="0067637B"/>
    <w:rPr>
      <w:sz w:val="20"/>
      <w:szCs w:val="20"/>
    </w:rPr>
  </w:style>
  <w:style w:type="paragraph" w:styleId="CommentSubject">
    <w:name w:val="annotation subject"/>
    <w:basedOn w:val="CommentText"/>
    <w:next w:val="CommentText"/>
    <w:link w:val="CommentSubjectChar"/>
    <w:uiPriority w:val="99"/>
    <w:semiHidden/>
    <w:unhideWhenUsed/>
    <w:rsid w:val="0067637B"/>
    <w:rPr>
      <w:b/>
      <w:bCs/>
    </w:rPr>
  </w:style>
  <w:style w:type="character" w:customStyle="1" w:styleId="CommentSubjectChar">
    <w:name w:val="Comment Subject Char"/>
    <w:basedOn w:val="CommentTextChar"/>
    <w:link w:val="CommentSubject"/>
    <w:uiPriority w:val="99"/>
    <w:semiHidden/>
    <w:rsid w:val="0067637B"/>
    <w:rPr>
      <w:b/>
      <w:bCs/>
      <w:sz w:val="20"/>
      <w:szCs w:val="20"/>
    </w:rPr>
  </w:style>
  <w:style w:type="paragraph" w:styleId="FootnoteText">
    <w:name w:val="footnote text"/>
    <w:basedOn w:val="Normal"/>
    <w:link w:val="FootnoteTextChar"/>
    <w:uiPriority w:val="99"/>
    <w:unhideWhenUsed/>
    <w:rsid w:val="002953AD"/>
    <w:pPr>
      <w:spacing w:after="0" w:line="240" w:lineRule="auto"/>
    </w:pPr>
    <w:rPr>
      <w:sz w:val="20"/>
      <w:szCs w:val="20"/>
    </w:rPr>
  </w:style>
  <w:style w:type="character" w:customStyle="1" w:styleId="FootnoteTextChar">
    <w:name w:val="Footnote Text Char"/>
    <w:basedOn w:val="DefaultParagraphFont"/>
    <w:link w:val="FootnoteText"/>
    <w:uiPriority w:val="99"/>
    <w:rsid w:val="002953AD"/>
    <w:rPr>
      <w:sz w:val="20"/>
      <w:szCs w:val="20"/>
    </w:rPr>
  </w:style>
  <w:style w:type="character" w:styleId="FootnoteReference">
    <w:name w:val="footnote reference"/>
    <w:basedOn w:val="DefaultParagraphFont"/>
    <w:uiPriority w:val="99"/>
    <w:semiHidden/>
    <w:unhideWhenUsed/>
    <w:rsid w:val="002953AD"/>
    <w:rPr>
      <w:vertAlign w:val="superscript"/>
    </w:rPr>
  </w:style>
  <w:style w:type="paragraph" w:styleId="ListBullet">
    <w:name w:val="List Bullet"/>
    <w:basedOn w:val="Normal"/>
    <w:uiPriority w:val="99"/>
    <w:unhideWhenUsed/>
    <w:rsid w:val="002953AD"/>
    <w:pPr>
      <w:numPr>
        <w:numId w:val="1"/>
      </w:numPr>
      <w:contextualSpacing/>
    </w:pPr>
  </w:style>
  <w:style w:type="paragraph" w:styleId="Revision">
    <w:name w:val="Revision"/>
    <w:hidden/>
    <w:uiPriority w:val="99"/>
    <w:semiHidden/>
    <w:rsid w:val="002A4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353549">
      <w:bodyDiv w:val="1"/>
      <w:marLeft w:val="0"/>
      <w:marRight w:val="0"/>
      <w:marTop w:val="0"/>
      <w:marBottom w:val="0"/>
      <w:divBdr>
        <w:top w:val="none" w:sz="0" w:space="0" w:color="auto"/>
        <w:left w:val="none" w:sz="0" w:space="0" w:color="auto"/>
        <w:bottom w:val="none" w:sz="0" w:space="0" w:color="auto"/>
        <w:right w:val="none" w:sz="0" w:space="0" w:color="auto"/>
      </w:divBdr>
    </w:div>
    <w:div w:id="21125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mchenry@nfa.futur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lapper@nfa.futur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C134-49FD-436F-80CA-CC1F23EC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1931</Words>
  <Characters>11010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Sheridan</dc:creator>
  <cp:keywords/>
  <dc:description/>
  <cp:lastModifiedBy>Elizabeth Sheridan</cp:lastModifiedBy>
  <cp:revision>2</cp:revision>
  <cp:lastPrinted>2023-12-04T19:33:00Z</cp:lastPrinted>
  <dcterms:created xsi:type="dcterms:W3CDTF">2023-12-11T18:53:00Z</dcterms:created>
  <dcterms:modified xsi:type="dcterms:W3CDTF">2023-12-11T18:53:00Z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722b0a9f-794e-49e2-bf53-a1bb7016aa2b</vt:lpwstr>
  </property>
  <property fmtid="{D5CDD505-2E9C-101B-9397-08002B2CF9AE}" pid="3" name="TitusCLASSIFICATION">
    <vt:lpwstr>PUBLIC</vt:lpwstr>
  </property>
  <property fmtid="{D5CDD505-2E9C-101B-9397-08002B2CF9AE}" pid="4" name="TitusVISUALMARKING">
    <vt:lpwstr>NONE</vt:lpwstr>
  </property>
</Properties>
</file>