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F87D" w14:textId="77777777" w:rsidR="00B75BD4" w:rsidRDefault="00B75BD4" w:rsidP="000B3B98">
      <w:pPr>
        <w:jc w:val="center"/>
      </w:pPr>
    </w:p>
    <w:p w14:paraId="7E5F4A40" w14:textId="72BCC461" w:rsidR="000370C8" w:rsidRPr="001056B3" w:rsidRDefault="00351BB2" w:rsidP="000B3B98">
      <w:pPr>
        <w:jc w:val="center"/>
        <w:rPr>
          <w:rFonts w:ascii="Georgia" w:hAnsi="Georgia"/>
        </w:rPr>
      </w:pPr>
      <w:r w:rsidRPr="001056B3">
        <w:rPr>
          <w:rFonts w:ascii="Georgia" w:hAnsi="Georgia"/>
        </w:rPr>
        <w:t>May 11</w:t>
      </w:r>
      <w:r w:rsidR="004B529A" w:rsidRPr="001056B3">
        <w:rPr>
          <w:rFonts w:ascii="Georgia" w:hAnsi="Georgia"/>
        </w:rPr>
        <w:t>, 202</w:t>
      </w:r>
      <w:r w:rsidR="009439A6" w:rsidRPr="001056B3">
        <w:rPr>
          <w:rFonts w:ascii="Georgia" w:hAnsi="Georgia"/>
        </w:rPr>
        <w:t>2</w:t>
      </w:r>
    </w:p>
    <w:p w14:paraId="53A29451" w14:textId="77777777" w:rsidR="00374063" w:rsidRPr="001056B3" w:rsidRDefault="00374063" w:rsidP="00374063">
      <w:pPr>
        <w:rPr>
          <w:rFonts w:ascii="Georgia" w:hAnsi="Georgia"/>
        </w:rPr>
      </w:pPr>
    </w:p>
    <w:p w14:paraId="0978FE0C" w14:textId="77777777" w:rsidR="006F48C9" w:rsidRPr="001056B3" w:rsidRDefault="006F48C9" w:rsidP="006F48C9">
      <w:pPr>
        <w:rPr>
          <w:rFonts w:ascii="Georgia" w:hAnsi="Georgia"/>
        </w:rPr>
      </w:pPr>
      <w:r w:rsidRPr="001056B3">
        <w:rPr>
          <w:rFonts w:ascii="Georgia" w:hAnsi="Georgia"/>
        </w:rPr>
        <w:t>Chairman Rostin Behnam</w:t>
      </w:r>
    </w:p>
    <w:p w14:paraId="01B6D606" w14:textId="77777777" w:rsidR="006F48C9" w:rsidRPr="001056B3" w:rsidRDefault="006F48C9" w:rsidP="006F48C9">
      <w:pPr>
        <w:rPr>
          <w:rFonts w:ascii="Georgia" w:hAnsi="Georgia"/>
        </w:rPr>
      </w:pPr>
      <w:r w:rsidRPr="001056B3">
        <w:rPr>
          <w:rFonts w:ascii="Georgia" w:hAnsi="Georgia"/>
        </w:rPr>
        <w:t>U.S. Commodity Futures Trading Commission</w:t>
      </w:r>
    </w:p>
    <w:p w14:paraId="5E3D587A" w14:textId="77777777" w:rsidR="006F48C9" w:rsidRPr="001056B3" w:rsidRDefault="006F48C9" w:rsidP="006F48C9">
      <w:pPr>
        <w:rPr>
          <w:rFonts w:ascii="Georgia" w:hAnsi="Georgia"/>
        </w:rPr>
      </w:pPr>
      <w:r w:rsidRPr="001056B3">
        <w:rPr>
          <w:rFonts w:ascii="Georgia" w:hAnsi="Georgia"/>
        </w:rPr>
        <w:t>1155 21</w:t>
      </w:r>
      <w:r w:rsidRPr="001056B3">
        <w:rPr>
          <w:rFonts w:ascii="Georgia" w:hAnsi="Georgia"/>
          <w:vertAlign w:val="superscript"/>
        </w:rPr>
        <w:t>st</w:t>
      </w:r>
      <w:r w:rsidRPr="001056B3">
        <w:rPr>
          <w:rFonts w:ascii="Georgia" w:hAnsi="Georgia"/>
        </w:rPr>
        <w:t xml:space="preserve"> Street, NW</w:t>
      </w:r>
    </w:p>
    <w:p w14:paraId="72783848" w14:textId="77777777" w:rsidR="006F48C9" w:rsidRPr="001056B3" w:rsidRDefault="006F48C9" w:rsidP="006F48C9">
      <w:pPr>
        <w:rPr>
          <w:rFonts w:ascii="Georgia" w:hAnsi="Georgia"/>
        </w:rPr>
      </w:pPr>
      <w:r w:rsidRPr="001056B3">
        <w:rPr>
          <w:rFonts w:ascii="Georgia" w:hAnsi="Georgia"/>
        </w:rPr>
        <w:t>Washington, DC 20581</w:t>
      </w:r>
    </w:p>
    <w:p w14:paraId="09140B96" w14:textId="77777777" w:rsidR="006F48C9" w:rsidRPr="001056B3" w:rsidRDefault="006F48C9" w:rsidP="006F48C9">
      <w:pPr>
        <w:rPr>
          <w:rFonts w:ascii="Georgia" w:hAnsi="Georgia"/>
        </w:rPr>
      </w:pPr>
    </w:p>
    <w:p w14:paraId="08123E28" w14:textId="77777777" w:rsidR="004108D4" w:rsidRPr="001056B3" w:rsidRDefault="004108D4" w:rsidP="004108D4">
      <w:pPr>
        <w:rPr>
          <w:rFonts w:ascii="Georgia" w:hAnsi="Georgia"/>
          <w:b/>
          <w:bCs/>
        </w:rPr>
      </w:pPr>
      <w:r w:rsidRPr="001056B3">
        <w:rPr>
          <w:rFonts w:ascii="Georgia" w:hAnsi="Georgia"/>
          <w:b/>
          <w:bCs/>
        </w:rPr>
        <w:t>Re: Industry Filing  22-001―Request for Comment on FTX Request for Amended DCO Registration Order</w:t>
      </w:r>
    </w:p>
    <w:p w14:paraId="669F4B22" w14:textId="77777777" w:rsidR="004108D4" w:rsidRPr="001056B3" w:rsidRDefault="004108D4" w:rsidP="006F48C9">
      <w:pPr>
        <w:rPr>
          <w:rFonts w:ascii="Georgia" w:hAnsi="Georgia"/>
        </w:rPr>
      </w:pPr>
    </w:p>
    <w:p w14:paraId="610D1C7B" w14:textId="77777777" w:rsidR="006F48C9" w:rsidRPr="001056B3" w:rsidRDefault="006F48C9" w:rsidP="006F48C9">
      <w:pPr>
        <w:rPr>
          <w:rFonts w:ascii="Georgia" w:hAnsi="Georgia"/>
        </w:rPr>
      </w:pPr>
      <w:r w:rsidRPr="001056B3">
        <w:rPr>
          <w:rFonts w:ascii="Georgia" w:hAnsi="Georgia"/>
        </w:rPr>
        <w:t>Dear Chairman Behnam,</w:t>
      </w:r>
    </w:p>
    <w:p w14:paraId="08B43F72" w14:textId="77777777" w:rsidR="009618E4" w:rsidRPr="001056B3" w:rsidRDefault="009618E4" w:rsidP="00D9205A">
      <w:pPr>
        <w:rPr>
          <w:rFonts w:ascii="Georgia" w:hAnsi="Georgia"/>
        </w:rPr>
      </w:pPr>
    </w:p>
    <w:p w14:paraId="615FA1F9" w14:textId="03EEF8AC" w:rsidR="002F182A" w:rsidRDefault="00A47435" w:rsidP="00764190">
      <w:pPr>
        <w:rPr>
          <w:rFonts w:ascii="Georgia" w:hAnsi="Georgia"/>
        </w:rPr>
      </w:pPr>
      <w:r>
        <w:rPr>
          <w:rFonts w:ascii="Georgia" w:hAnsi="Georgia"/>
        </w:rPr>
        <w:t xml:space="preserve">Today </w:t>
      </w:r>
      <w:r w:rsidR="004108D4" w:rsidRPr="001056B3">
        <w:rPr>
          <w:rFonts w:ascii="Georgia" w:hAnsi="Georgia"/>
        </w:rPr>
        <w:t>Public Citizen comments on</w:t>
      </w:r>
      <w:r w:rsidR="005123AA" w:rsidRPr="001056B3">
        <w:rPr>
          <w:rFonts w:ascii="Georgia" w:hAnsi="Georgia"/>
        </w:rPr>
        <w:t xml:space="preserve"> FTX</w:t>
      </w:r>
      <w:r w:rsidR="002160A6">
        <w:rPr>
          <w:rFonts w:ascii="Georgia" w:hAnsi="Georgia"/>
        </w:rPr>
        <w:t>’s</w:t>
      </w:r>
      <w:r w:rsidR="005123AA" w:rsidRPr="001056B3">
        <w:rPr>
          <w:rFonts w:ascii="Georgia" w:hAnsi="Georgia"/>
        </w:rPr>
        <w:t xml:space="preserve"> </w:t>
      </w:r>
      <w:r w:rsidR="00261E77" w:rsidRPr="001056B3">
        <w:rPr>
          <w:rFonts w:ascii="Georgia" w:hAnsi="Georgia"/>
        </w:rPr>
        <w:t>proposal to a</w:t>
      </w:r>
      <w:r w:rsidR="00E54977" w:rsidRPr="001056B3">
        <w:rPr>
          <w:rFonts w:ascii="Georgia" w:hAnsi="Georgia"/>
        </w:rPr>
        <w:t>uto</w:t>
      </w:r>
      <w:r w:rsidR="00261E77" w:rsidRPr="001056B3">
        <w:rPr>
          <w:rFonts w:ascii="Georgia" w:hAnsi="Georgia"/>
        </w:rPr>
        <w:t>mate</w:t>
      </w:r>
      <w:r w:rsidR="000B5138">
        <w:rPr>
          <w:rFonts w:ascii="Georgia" w:hAnsi="Georgia"/>
        </w:rPr>
        <w:t xml:space="preserve"> </w:t>
      </w:r>
      <w:r w:rsidR="000B5138" w:rsidRPr="001056B3">
        <w:rPr>
          <w:rFonts w:ascii="Georgia" w:hAnsi="Georgia"/>
        </w:rPr>
        <w:t>commodity derivative market</w:t>
      </w:r>
      <w:r w:rsidR="00261E77" w:rsidRPr="001056B3">
        <w:rPr>
          <w:rFonts w:ascii="Georgia" w:hAnsi="Georgia"/>
        </w:rPr>
        <w:t xml:space="preserve"> risk management</w:t>
      </w:r>
      <w:r w:rsidR="00635FB4">
        <w:rPr>
          <w:rFonts w:ascii="Georgia" w:hAnsi="Georgia"/>
        </w:rPr>
        <w:t xml:space="preserve">. </w:t>
      </w:r>
      <w:r w:rsidR="000A6D09">
        <w:rPr>
          <w:rFonts w:ascii="Georgia" w:hAnsi="Georgia"/>
        </w:rPr>
        <w:t xml:space="preserve">FTX seeks to </w:t>
      </w:r>
      <w:r w:rsidR="00AC4981">
        <w:rPr>
          <w:rFonts w:ascii="Georgia" w:hAnsi="Georgia"/>
        </w:rPr>
        <w:t xml:space="preserve">disrupt the </w:t>
      </w:r>
      <w:r w:rsidR="00671ABD">
        <w:rPr>
          <w:rFonts w:ascii="Georgia" w:hAnsi="Georgia"/>
        </w:rPr>
        <w:t xml:space="preserve">risk management status quo by allowing </w:t>
      </w:r>
      <w:r w:rsidR="00A74487" w:rsidRPr="00A74487">
        <w:rPr>
          <w:rFonts w:ascii="Georgia" w:hAnsi="Georgia"/>
        </w:rPr>
        <w:t>derivatives clearing organizations (DCOs)</w:t>
      </w:r>
      <w:r w:rsidR="003A46F6">
        <w:rPr>
          <w:rFonts w:ascii="Georgia" w:hAnsi="Georgia"/>
        </w:rPr>
        <w:t xml:space="preserve"> to</w:t>
      </w:r>
      <w:r w:rsidR="00586E87">
        <w:rPr>
          <w:rFonts w:ascii="Georgia" w:hAnsi="Georgia"/>
        </w:rPr>
        <w:t xml:space="preserve"> </w:t>
      </w:r>
      <w:r w:rsidR="004172C0">
        <w:rPr>
          <w:rFonts w:ascii="Georgia" w:hAnsi="Georgia"/>
        </w:rPr>
        <w:t>provide</w:t>
      </w:r>
      <w:r w:rsidR="00586E87">
        <w:rPr>
          <w:rFonts w:ascii="Georgia" w:hAnsi="Georgia"/>
        </w:rPr>
        <w:t xml:space="preserve"> </w:t>
      </w:r>
      <w:r w:rsidR="002A6140">
        <w:rPr>
          <w:rFonts w:ascii="Georgia" w:hAnsi="Georgia"/>
        </w:rPr>
        <w:t xml:space="preserve">customers with </w:t>
      </w:r>
      <w:r w:rsidR="002374AE">
        <w:rPr>
          <w:rFonts w:ascii="Georgia" w:hAnsi="Georgia"/>
        </w:rPr>
        <w:t>direct access to automatic marginalized</w:t>
      </w:r>
      <w:r w:rsidR="007350AE">
        <w:rPr>
          <w:rFonts w:ascii="Georgia" w:hAnsi="Georgia"/>
        </w:rPr>
        <w:t xml:space="preserve"> clearing</w:t>
      </w:r>
      <w:r w:rsidR="00144E6C">
        <w:rPr>
          <w:rFonts w:ascii="Georgia" w:hAnsi="Georgia"/>
        </w:rPr>
        <w:t xml:space="preserve">. </w:t>
      </w:r>
      <w:r w:rsidR="00DF5D72">
        <w:rPr>
          <w:rFonts w:ascii="Georgia" w:hAnsi="Georgia"/>
        </w:rPr>
        <w:t>Margin requirements would be calculated every 30 seconds</w:t>
      </w:r>
      <w:r w:rsidR="00D231DE">
        <w:rPr>
          <w:rFonts w:ascii="Georgia" w:hAnsi="Georgia"/>
        </w:rPr>
        <w:t xml:space="preserve">, with </w:t>
      </w:r>
      <w:r w:rsidR="00AA493C">
        <w:rPr>
          <w:rFonts w:ascii="Georgia" w:hAnsi="Georgia"/>
        </w:rPr>
        <w:t xml:space="preserve">FTX </w:t>
      </w:r>
      <w:r w:rsidR="003131FE">
        <w:rPr>
          <w:rFonts w:ascii="Georgia" w:hAnsi="Georgia"/>
        </w:rPr>
        <w:t>collect</w:t>
      </w:r>
      <w:r w:rsidR="001C305A">
        <w:rPr>
          <w:rFonts w:ascii="Georgia" w:hAnsi="Georgia"/>
        </w:rPr>
        <w:t>ing</w:t>
      </w:r>
      <w:r w:rsidR="003131FE">
        <w:rPr>
          <w:rFonts w:ascii="Georgia" w:hAnsi="Georgia"/>
        </w:rPr>
        <w:t xml:space="preserve"> necessary margin</w:t>
      </w:r>
      <w:r w:rsidR="00ED408D">
        <w:rPr>
          <w:rFonts w:ascii="Georgia" w:hAnsi="Georgia"/>
        </w:rPr>
        <w:t xml:space="preserve"> in real time</w:t>
      </w:r>
      <w:r w:rsidR="003131FE">
        <w:rPr>
          <w:rFonts w:ascii="Georgia" w:hAnsi="Georgia"/>
        </w:rPr>
        <w:t xml:space="preserve">, </w:t>
      </w:r>
      <w:r w:rsidR="00E81F3A">
        <w:rPr>
          <w:rFonts w:ascii="Georgia" w:hAnsi="Georgia"/>
        </w:rPr>
        <w:t>and</w:t>
      </w:r>
      <w:r w:rsidR="001C3086">
        <w:rPr>
          <w:rFonts w:ascii="Georgia" w:hAnsi="Georgia"/>
        </w:rPr>
        <w:t xml:space="preserve"> </w:t>
      </w:r>
      <w:r w:rsidR="00690277">
        <w:rPr>
          <w:rFonts w:ascii="Georgia" w:hAnsi="Georgia"/>
        </w:rPr>
        <w:t>automatically</w:t>
      </w:r>
      <w:r w:rsidR="001C3086">
        <w:rPr>
          <w:rFonts w:ascii="Georgia" w:hAnsi="Georgia"/>
        </w:rPr>
        <w:t xml:space="preserve"> </w:t>
      </w:r>
      <w:r w:rsidR="00592896" w:rsidRPr="00592896">
        <w:rPr>
          <w:rFonts w:ascii="Georgia" w:hAnsi="Georgia"/>
        </w:rPr>
        <w:t>liquidating</w:t>
      </w:r>
      <w:r w:rsidR="001C3086">
        <w:rPr>
          <w:rFonts w:ascii="Georgia" w:hAnsi="Georgia"/>
        </w:rPr>
        <w:t xml:space="preserve"> positions if the </w:t>
      </w:r>
      <w:r w:rsidR="00FE5374">
        <w:rPr>
          <w:rFonts w:ascii="Georgia" w:hAnsi="Georgia"/>
        </w:rPr>
        <w:t>customer fails to clear the margin test</w:t>
      </w:r>
      <w:r w:rsidR="00E81F3A">
        <w:rPr>
          <w:rFonts w:ascii="Georgia" w:hAnsi="Georgia"/>
        </w:rPr>
        <w:t xml:space="preserve">. </w:t>
      </w:r>
    </w:p>
    <w:p w14:paraId="1E2921A2" w14:textId="77777777" w:rsidR="002F182A" w:rsidRDefault="002F182A" w:rsidP="00764190">
      <w:pPr>
        <w:rPr>
          <w:rFonts w:ascii="Georgia" w:hAnsi="Georgia"/>
        </w:rPr>
      </w:pPr>
    </w:p>
    <w:p w14:paraId="1661599B" w14:textId="263A4305" w:rsidR="008E42F9" w:rsidRDefault="00E81F3A" w:rsidP="00764190">
      <w:pPr>
        <w:rPr>
          <w:rFonts w:ascii="Georgia" w:hAnsi="Georgia"/>
        </w:rPr>
      </w:pPr>
      <w:r>
        <w:rPr>
          <w:rFonts w:ascii="Georgia" w:hAnsi="Georgia"/>
        </w:rPr>
        <w:t xml:space="preserve">FTX’s design </w:t>
      </w:r>
      <w:r w:rsidR="00477D63">
        <w:rPr>
          <w:rFonts w:ascii="Georgia" w:hAnsi="Georgia"/>
        </w:rPr>
        <w:t>bypass</w:t>
      </w:r>
      <w:r>
        <w:rPr>
          <w:rFonts w:ascii="Georgia" w:hAnsi="Georgia"/>
        </w:rPr>
        <w:t>es</w:t>
      </w:r>
      <w:r w:rsidR="00477D63">
        <w:rPr>
          <w:rFonts w:ascii="Georgia" w:hAnsi="Georgia"/>
        </w:rPr>
        <w:t xml:space="preserve"> the </w:t>
      </w:r>
      <w:r w:rsidR="006C433B">
        <w:rPr>
          <w:rFonts w:ascii="Georgia" w:hAnsi="Georgia"/>
        </w:rPr>
        <w:t>role typically served by Wall Street banks</w:t>
      </w:r>
      <w:r w:rsidR="00403048">
        <w:rPr>
          <w:rFonts w:ascii="Georgia" w:hAnsi="Georgia"/>
        </w:rPr>
        <w:t xml:space="preserve"> (</w:t>
      </w:r>
      <w:r w:rsidR="001845CA">
        <w:rPr>
          <w:rFonts w:ascii="Georgia" w:hAnsi="Georgia"/>
        </w:rPr>
        <w:t>as</w:t>
      </w:r>
      <w:r w:rsidR="00477D63">
        <w:rPr>
          <w:rFonts w:ascii="Georgia" w:hAnsi="Georgia"/>
        </w:rPr>
        <w:t xml:space="preserve"> </w:t>
      </w:r>
      <w:r w:rsidR="0096233A" w:rsidRPr="0096233A">
        <w:rPr>
          <w:rFonts w:ascii="Georgia" w:hAnsi="Georgia"/>
        </w:rPr>
        <w:t>futures commission merchants</w:t>
      </w:r>
      <w:r w:rsidR="001845CA">
        <w:rPr>
          <w:rFonts w:ascii="Georgia" w:hAnsi="Georgia"/>
        </w:rPr>
        <w:t xml:space="preserve">, or </w:t>
      </w:r>
      <w:r w:rsidR="0096233A" w:rsidRPr="0096233A">
        <w:rPr>
          <w:rFonts w:ascii="Georgia" w:hAnsi="Georgia"/>
        </w:rPr>
        <w:t>FCMs</w:t>
      </w:r>
      <w:r w:rsidR="00F834AC">
        <w:rPr>
          <w:rFonts w:ascii="Georgia" w:hAnsi="Georgia"/>
        </w:rPr>
        <w:t>)</w:t>
      </w:r>
      <w:r w:rsidR="00477D63">
        <w:rPr>
          <w:rFonts w:ascii="Georgia" w:hAnsi="Georgia"/>
        </w:rPr>
        <w:t xml:space="preserve"> to hold </w:t>
      </w:r>
      <w:r w:rsidR="00851944">
        <w:rPr>
          <w:rFonts w:ascii="Georgia" w:hAnsi="Georgia"/>
        </w:rPr>
        <w:t>collateral</w:t>
      </w:r>
      <w:r w:rsidR="00477D63">
        <w:rPr>
          <w:rFonts w:ascii="Georgia" w:hAnsi="Georgia"/>
        </w:rPr>
        <w:t xml:space="preserve">, since </w:t>
      </w:r>
      <w:r w:rsidR="001845CA">
        <w:rPr>
          <w:rFonts w:ascii="Georgia" w:hAnsi="Georgia"/>
        </w:rPr>
        <w:t>FTX</w:t>
      </w:r>
      <w:r w:rsidR="00477D63">
        <w:rPr>
          <w:rFonts w:ascii="Georgia" w:hAnsi="Georgia"/>
        </w:rPr>
        <w:t xml:space="preserve"> will post it automatically</w:t>
      </w:r>
      <w:r w:rsidR="001845CA">
        <w:rPr>
          <w:rFonts w:ascii="Georgia" w:hAnsi="Georgia"/>
        </w:rPr>
        <w:t xml:space="preserve"> or liquidate</w:t>
      </w:r>
      <w:r w:rsidR="00740503">
        <w:rPr>
          <w:rFonts w:ascii="Georgia" w:hAnsi="Georgia"/>
        </w:rPr>
        <w:t xml:space="preserve"> unmargined positions</w:t>
      </w:r>
      <w:r w:rsidR="00477D63">
        <w:rPr>
          <w:rFonts w:ascii="Georgia" w:hAnsi="Georgia"/>
        </w:rPr>
        <w:t>.</w:t>
      </w:r>
      <w:r w:rsidR="00EA1ABB">
        <w:rPr>
          <w:rFonts w:ascii="Georgia" w:hAnsi="Georgia"/>
        </w:rPr>
        <w:t xml:space="preserve"> </w:t>
      </w:r>
      <w:r w:rsidR="002F182A">
        <w:rPr>
          <w:rFonts w:ascii="Georgia" w:hAnsi="Georgia"/>
        </w:rPr>
        <w:t xml:space="preserve">As such, the FTX proposal upends </w:t>
      </w:r>
      <w:r w:rsidR="008102F5">
        <w:rPr>
          <w:rFonts w:ascii="Georgia" w:hAnsi="Georgia"/>
        </w:rPr>
        <w:t>established</w:t>
      </w:r>
      <w:r w:rsidR="002C3336">
        <w:rPr>
          <w:rFonts w:ascii="Georgia" w:hAnsi="Georgia"/>
        </w:rPr>
        <w:t xml:space="preserve"> power brokers</w:t>
      </w:r>
      <w:r w:rsidR="00823772">
        <w:rPr>
          <w:rFonts w:ascii="Georgia" w:hAnsi="Georgia"/>
        </w:rPr>
        <w:t>. Such</w:t>
      </w:r>
      <w:r w:rsidR="002C3336">
        <w:rPr>
          <w:rFonts w:ascii="Georgia" w:hAnsi="Georgia"/>
        </w:rPr>
        <w:t xml:space="preserve"> </w:t>
      </w:r>
      <w:r w:rsidR="00F33525">
        <w:rPr>
          <w:rFonts w:ascii="Georgia" w:hAnsi="Georgia"/>
        </w:rPr>
        <w:t>technologically-driven disrupti</w:t>
      </w:r>
      <w:r w:rsidR="00DD3953">
        <w:rPr>
          <w:rFonts w:ascii="Georgia" w:hAnsi="Georgia"/>
        </w:rPr>
        <w:t xml:space="preserve">on </w:t>
      </w:r>
      <w:r w:rsidR="00C04572">
        <w:rPr>
          <w:rFonts w:ascii="Georgia" w:hAnsi="Georgia"/>
        </w:rPr>
        <w:t>of</w:t>
      </w:r>
      <w:r w:rsidR="00DD3953">
        <w:rPr>
          <w:rFonts w:ascii="Georgia" w:hAnsi="Georgia"/>
        </w:rPr>
        <w:t xml:space="preserve"> the architecture of commodity </w:t>
      </w:r>
      <w:r w:rsidR="00C04572">
        <w:rPr>
          <w:rFonts w:ascii="Georgia" w:hAnsi="Georgia"/>
        </w:rPr>
        <w:t>derivative</w:t>
      </w:r>
      <w:r w:rsidR="00DD3953">
        <w:rPr>
          <w:rFonts w:ascii="Georgia" w:hAnsi="Georgia"/>
        </w:rPr>
        <w:t xml:space="preserve"> markets</w:t>
      </w:r>
      <w:r w:rsidR="00823772">
        <w:rPr>
          <w:rFonts w:ascii="Georgia" w:hAnsi="Georgia"/>
        </w:rPr>
        <w:t xml:space="preserve"> </w:t>
      </w:r>
      <w:r w:rsidR="00C04572">
        <w:rPr>
          <w:rFonts w:ascii="Georgia" w:hAnsi="Georgia"/>
        </w:rPr>
        <w:t>has potential to</w:t>
      </w:r>
      <w:r w:rsidR="00823772">
        <w:rPr>
          <w:rFonts w:ascii="Georgia" w:hAnsi="Georgia"/>
        </w:rPr>
        <w:t xml:space="preserve"> unl</w:t>
      </w:r>
      <w:r w:rsidR="00281DB6">
        <w:rPr>
          <w:rFonts w:ascii="Georgia" w:hAnsi="Georgia"/>
        </w:rPr>
        <w:t>ock efficiencies for commodity end-users and producers alike</w:t>
      </w:r>
      <w:r w:rsidR="00A3398D">
        <w:rPr>
          <w:rFonts w:ascii="Georgia" w:hAnsi="Georgia"/>
        </w:rPr>
        <w:t>―</w:t>
      </w:r>
      <w:r w:rsidR="00281DB6">
        <w:rPr>
          <w:rFonts w:ascii="Georgia" w:hAnsi="Georgia"/>
        </w:rPr>
        <w:t>but it could just as easily</w:t>
      </w:r>
      <w:r w:rsidR="00A92BAA">
        <w:rPr>
          <w:rFonts w:ascii="Georgia" w:hAnsi="Georgia"/>
        </w:rPr>
        <w:t xml:space="preserve"> result in disaster. </w:t>
      </w:r>
    </w:p>
    <w:p w14:paraId="3BEAD0A8" w14:textId="77777777" w:rsidR="00A92BAA" w:rsidRDefault="00A92BAA" w:rsidP="00764190">
      <w:pPr>
        <w:rPr>
          <w:rFonts w:ascii="Georgia" w:hAnsi="Georgia"/>
        </w:rPr>
      </w:pPr>
    </w:p>
    <w:p w14:paraId="330683BD" w14:textId="52B461F5" w:rsidR="00A92BAA" w:rsidRDefault="00A92BAA" w:rsidP="00764190">
      <w:pPr>
        <w:rPr>
          <w:rFonts w:ascii="Georgia" w:hAnsi="Georgia"/>
        </w:rPr>
      </w:pPr>
      <w:r>
        <w:rPr>
          <w:rFonts w:ascii="Georgia" w:hAnsi="Georgia"/>
        </w:rPr>
        <w:t>Public Citizen therefore proposes</w:t>
      </w:r>
      <w:r w:rsidR="00D801DE">
        <w:rPr>
          <w:rFonts w:ascii="Georgia" w:hAnsi="Georgia"/>
        </w:rPr>
        <w:t xml:space="preserve"> the Commission to </w:t>
      </w:r>
      <w:r w:rsidR="00382C4D">
        <w:rPr>
          <w:rFonts w:ascii="Georgia" w:hAnsi="Georgia"/>
        </w:rPr>
        <w:t>cautiously</w:t>
      </w:r>
      <w:r w:rsidR="00D801DE">
        <w:rPr>
          <w:rFonts w:ascii="Georgia" w:hAnsi="Georgia"/>
        </w:rPr>
        <w:t xml:space="preserve"> review the proposal, </w:t>
      </w:r>
      <w:r w:rsidR="00F35974">
        <w:rPr>
          <w:rFonts w:ascii="Georgia" w:hAnsi="Georgia"/>
        </w:rPr>
        <w:t>with the following recommendations:</w:t>
      </w:r>
    </w:p>
    <w:p w14:paraId="5F01702D" w14:textId="77777777" w:rsidR="00AB31F6" w:rsidRDefault="00AB31F6" w:rsidP="00764190">
      <w:pPr>
        <w:rPr>
          <w:rFonts w:ascii="Georgia" w:hAnsi="Georgia"/>
        </w:rPr>
      </w:pPr>
    </w:p>
    <w:p w14:paraId="4046EB9F" w14:textId="75D57B27" w:rsidR="00717E26" w:rsidRPr="00A3398D" w:rsidRDefault="006D5586" w:rsidP="00717E26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 w:rsidRPr="00A3398D">
        <w:rPr>
          <w:rFonts w:ascii="Georgia" w:hAnsi="Georgia"/>
          <w:b/>
          <w:bCs/>
        </w:rPr>
        <w:t>A Formal Rulemaking, B</w:t>
      </w:r>
      <w:r w:rsidR="00AB31F6" w:rsidRPr="00A3398D">
        <w:rPr>
          <w:rFonts w:ascii="Georgia" w:hAnsi="Georgia"/>
          <w:b/>
          <w:bCs/>
        </w:rPr>
        <w:t xml:space="preserve">roader </w:t>
      </w:r>
      <w:r w:rsidR="00457F3F" w:rsidRPr="00A3398D">
        <w:rPr>
          <w:rFonts w:ascii="Georgia" w:hAnsi="Georgia"/>
          <w:b/>
          <w:bCs/>
        </w:rPr>
        <w:t>S</w:t>
      </w:r>
      <w:r w:rsidR="00AB31F6" w:rsidRPr="00A3398D">
        <w:rPr>
          <w:rFonts w:ascii="Georgia" w:hAnsi="Georgia"/>
          <w:b/>
          <w:bCs/>
        </w:rPr>
        <w:t xml:space="preserve">takeholder </w:t>
      </w:r>
      <w:r w:rsidR="00457F3F" w:rsidRPr="00A3398D">
        <w:rPr>
          <w:rFonts w:ascii="Georgia" w:hAnsi="Georgia"/>
          <w:b/>
          <w:bCs/>
        </w:rPr>
        <w:t>E</w:t>
      </w:r>
      <w:r w:rsidR="00AB31F6" w:rsidRPr="00A3398D">
        <w:rPr>
          <w:rFonts w:ascii="Georgia" w:hAnsi="Georgia"/>
          <w:b/>
          <w:bCs/>
        </w:rPr>
        <w:t xml:space="preserve">ngagement and </w:t>
      </w:r>
      <w:r w:rsidR="00457F3F" w:rsidRPr="00A3398D">
        <w:rPr>
          <w:rFonts w:ascii="Georgia" w:hAnsi="Georgia"/>
          <w:b/>
          <w:bCs/>
        </w:rPr>
        <w:t>A</w:t>
      </w:r>
      <w:r w:rsidR="00AB31F6" w:rsidRPr="00A3398D">
        <w:rPr>
          <w:rFonts w:ascii="Georgia" w:hAnsi="Georgia"/>
          <w:b/>
          <w:bCs/>
        </w:rPr>
        <w:t xml:space="preserve">dditional </w:t>
      </w:r>
      <w:r w:rsidR="00457F3F" w:rsidRPr="00A3398D">
        <w:rPr>
          <w:rFonts w:ascii="Georgia" w:hAnsi="Georgia"/>
          <w:b/>
          <w:bCs/>
        </w:rPr>
        <w:t>Commission Resources Are Needed Before</w:t>
      </w:r>
      <w:r w:rsidR="00717E26" w:rsidRPr="00A3398D">
        <w:rPr>
          <w:rFonts w:ascii="Georgia" w:hAnsi="Georgia"/>
          <w:b/>
          <w:bCs/>
        </w:rPr>
        <w:t xml:space="preserve"> The Proposal Can Be Approved</w:t>
      </w:r>
    </w:p>
    <w:p w14:paraId="288D97BB" w14:textId="64632117" w:rsidR="000C3DE0" w:rsidRDefault="00687663" w:rsidP="000C3DE0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Given the </w:t>
      </w:r>
      <w:r w:rsidR="00AC1358">
        <w:rPr>
          <w:rFonts w:ascii="Georgia" w:hAnsi="Georgia"/>
        </w:rPr>
        <w:t xml:space="preserve">sweeping </w:t>
      </w:r>
      <w:r>
        <w:rPr>
          <w:rFonts w:ascii="Georgia" w:hAnsi="Georgia"/>
        </w:rPr>
        <w:t>significance of the FTX proposal, a formal rulemaking</w:t>
      </w:r>
      <w:r w:rsidR="00902751">
        <w:rPr>
          <w:rFonts w:ascii="Georgia" w:hAnsi="Georgia"/>
        </w:rPr>
        <w:t xml:space="preserve"> is required.</w:t>
      </w:r>
    </w:p>
    <w:p w14:paraId="4F894FE4" w14:textId="6A65D33D" w:rsidR="00F35974" w:rsidRDefault="00EA6EA0" w:rsidP="00717E26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717E26">
        <w:rPr>
          <w:rFonts w:ascii="Georgia" w:hAnsi="Georgia"/>
        </w:rPr>
        <w:t>In addition to the public roundtable later this month</w:t>
      </w:r>
      <w:r w:rsidR="006D1BBE">
        <w:rPr>
          <w:rStyle w:val="FootnoteReference"/>
          <w:rFonts w:ascii="Georgia" w:hAnsi="Georgia"/>
        </w:rPr>
        <w:footnoteReference w:id="1"/>
      </w:r>
      <w:r w:rsidRPr="00717E26">
        <w:rPr>
          <w:rFonts w:ascii="Georgia" w:hAnsi="Georgia"/>
        </w:rPr>
        <w:t>,</w:t>
      </w:r>
      <w:r w:rsidR="006D1BBE" w:rsidRPr="00717E26">
        <w:rPr>
          <w:rFonts w:ascii="Georgia" w:hAnsi="Georgia"/>
        </w:rPr>
        <w:t xml:space="preserve"> the </w:t>
      </w:r>
      <w:r w:rsidR="00E4298E">
        <w:rPr>
          <w:rFonts w:ascii="Georgia" w:hAnsi="Georgia"/>
        </w:rPr>
        <w:t xml:space="preserve">Commission’s </w:t>
      </w:r>
      <w:r w:rsidR="006D1BBE" w:rsidRPr="00717E26">
        <w:rPr>
          <w:rFonts w:ascii="Georgia" w:hAnsi="Georgia"/>
        </w:rPr>
        <w:t>Market Risk A</w:t>
      </w:r>
      <w:r w:rsidR="00E4298E">
        <w:rPr>
          <w:rFonts w:ascii="Georgia" w:hAnsi="Georgia"/>
        </w:rPr>
        <w:t xml:space="preserve">dvisory Committee should </w:t>
      </w:r>
      <w:r w:rsidR="001D44FA">
        <w:rPr>
          <w:rFonts w:ascii="Georgia" w:hAnsi="Georgia"/>
        </w:rPr>
        <w:t>be engaged</w:t>
      </w:r>
      <w:r w:rsidR="005D52C0">
        <w:rPr>
          <w:rFonts w:ascii="Georgia" w:hAnsi="Georgia"/>
        </w:rPr>
        <w:t xml:space="preserve"> </w:t>
      </w:r>
      <w:r w:rsidR="00A223B3">
        <w:rPr>
          <w:rFonts w:ascii="Georgia" w:hAnsi="Georgia"/>
        </w:rPr>
        <w:t>to</w:t>
      </w:r>
      <w:r w:rsidR="005D52C0">
        <w:rPr>
          <w:rFonts w:ascii="Georgia" w:hAnsi="Georgia"/>
        </w:rPr>
        <w:t xml:space="preserve"> discuss the concepts raised in the proposal</w:t>
      </w:r>
      <w:r w:rsidR="00A223B3">
        <w:rPr>
          <w:rFonts w:ascii="Georgia" w:hAnsi="Georgia"/>
        </w:rPr>
        <w:t xml:space="preserve">, and </w:t>
      </w:r>
      <w:r w:rsidR="001D44FA">
        <w:rPr>
          <w:rFonts w:ascii="Georgia" w:hAnsi="Georgia"/>
        </w:rPr>
        <w:t>have</w:t>
      </w:r>
      <w:r w:rsidR="00A223B3">
        <w:rPr>
          <w:rFonts w:ascii="Georgia" w:hAnsi="Georgia"/>
        </w:rPr>
        <w:t xml:space="preserve"> an opportunity to issue recommendations</w:t>
      </w:r>
      <w:r w:rsidR="005D52C0">
        <w:rPr>
          <w:rFonts w:ascii="Georgia" w:hAnsi="Georgia"/>
        </w:rPr>
        <w:t>.</w:t>
      </w:r>
    </w:p>
    <w:p w14:paraId="545E3CD2" w14:textId="77777777" w:rsidR="009326C3" w:rsidRDefault="001713EF" w:rsidP="00717E26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The Commission needs commitments of additional financial and staff resources </w:t>
      </w:r>
      <w:r w:rsidR="00C62E4E">
        <w:rPr>
          <w:rFonts w:ascii="Georgia" w:hAnsi="Georgia"/>
        </w:rPr>
        <w:t xml:space="preserve">in order to effectively provide oversight and </w:t>
      </w:r>
    </w:p>
    <w:p w14:paraId="0FD0445C" w14:textId="3E502938" w:rsidR="005D52C0" w:rsidRPr="009326C3" w:rsidRDefault="00C62E4E" w:rsidP="009326C3">
      <w:pPr>
        <w:pStyle w:val="ListParagraph"/>
        <w:ind w:left="1440"/>
        <w:rPr>
          <w:rFonts w:ascii="Georgia" w:hAnsi="Georgia"/>
        </w:rPr>
      </w:pPr>
      <w:r w:rsidRPr="009326C3">
        <w:rPr>
          <w:rFonts w:ascii="Georgia" w:hAnsi="Georgia"/>
        </w:rPr>
        <w:lastRenderedPageBreak/>
        <w:t>enforcement of the new market structures featured in the proposal</w:t>
      </w:r>
      <w:r w:rsidR="00E86302" w:rsidRPr="009326C3">
        <w:rPr>
          <w:rFonts w:ascii="Georgia" w:hAnsi="Georgia"/>
        </w:rPr>
        <w:t>―</w:t>
      </w:r>
      <w:r w:rsidR="00424664" w:rsidRPr="009326C3">
        <w:rPr>
          <w:rFonts w:ascii="Georgia" w:hAnsi="Georgia"/>
        </w:rPr>
        <w:t>the least of which involve 24/7 trading and margin</w:t>
      </w:r>
      <w:r w:rsidR="00A223B3" w:rsidRPr="009326C3">
        <w:rPr>
          <w:rFonts w:ascii="Georgia" w:hAnsi="Georgia"/>
        </w:rPr>
        <w:t xml:space="preserve"> </w:t>
      </w:r>
      <w:r w:rsidR="009326C3" w:rsidRPr="009326C3">
        <w:rPr>
          <w:rFonts w:ascii="Georgia" w:hAnsi="Georgia"/>
        </w:rPr>
        <w:t>maintenance</w:t>
      </w:r>
      <w:r w:rsidRPr="009326C3">
        <w:rPr>
          <w:rFonts w:ascii="Georgia" w:hAnsi="Georgia"/>
        </w:rPr>
        <w:t>.</w:t>
      </w:r>
    </w:p>
    <w:p w14:paraId="507E2CE5" w14:textId="77777777" w:rsidR="005F0275" w:rsidRDefault="005F0275" w:rsidP="005F0275">
      <w:pPr>
        <w:pStyle w:val="ListParagraph"/>
        <w:ind w:left="1440"/>
        <w:rPr>
          <w:rFonts w:ascii="Georgia" w:hAnsi="Georgia"/>
        </w:rPr>
      </w:pPr>
    </w:p>
    <w:p w14:paraId="7B30DE6E" w14:textId="7B327105" w:rsidR="00C62E4E" w:rsidRPr="002E6C68" w:rsidRDefault="00FB0EB7" w:rsidP="00C62E4E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 w:rsidRPr="002E6C68">
        <w:rPr>
          <w:rFonts w:ascii="Georgia" w:hAnsi="Georgia"/>
          <w:b/>
          <w:bCs/>
        </w:rPr>
        <w:t xml:space="preserve">Automated margin and position liquidation platforms </w:t>
      </w:r>
      <w:r w:rsidR="00F7604C" w:rsidRPr="002E6C68">
        <w:rPr>
          <w:rFonts w:ascii="Georgia" w:hAnsi="Georgia"/>
          <w:b/>
          <w:bCs/>
        </w:rPr>
        <w:t xml:space="preserve">running 24/7 </w:t>
      </w:r>
      <w:r w:rsidRPr="002E6C68">
        <w:rPr>
          <w:rFonts w:ascii="Georgia" w:hAnsi="Georgia"/>
          <w:b/>
          <w:bCs/>
        </w:rPr>
        <w:t>risk</w:t>
      </w:r>
      <w:r w:rsidR="000B31EE" w:rsidRPr="002E6C68">
        <w:rPr>
          <w:rFonts w:ascii="Georgia" w:hAnsi="Georgia"/>
          <w:b/>
          <w:bCs/>
        </w:rPr>
        <w:t xml:space="preserve"> exposure to market manipulation and volatility.</w:t>
      </w:r>
    </w:p>
    <w:p w14:paraId="0C64FE22" w14:textId="408D9B0F" w:rsidR="000B31EE" w:rsidRDefault="000C5A06" w:rsidP="000B31EE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T</w:t>
      </w:r>
      <w:r w:rsidR="00F03D4D" w:rsidRPr="001056B3">
        <w:rPr>
          <w:rFonts w:ascii="Georgia" w:hAnsi="Georgia"/>
        </w:rPr>
        <w:t xml:space="preserve">rading 24 hours a day / seven days a week will expand </w:t>
      </w:r>
      <w:r w:rsidR="00211143">
        <w:rPr>
          <w:rFonts w:ascii="Georgia" w:hAnsi="Georgia"/>
        </w:rPr>
        <w:t>market activities</w:t>
      </w:r>
      <w:r w:rsidR="00F03D4D" w:rsidRPr="001056B3">
        <w:rPr>
          <w:rFonts w:ascii="Georgia" w:hAnsi="Georgia"/>
        </w:rPr>
        <w:t xml:space="preserve"> to periods where there will likely be far fewer </w:t>
      </w:r>
      <w:r w:rsidR="00211143">
        <w:rPr>
          <w:rFonts w:ascii="Georgia" w:hAnsi="Georgia"/>
        </w:rPr>
        <w:t>participants</w:t>
      </w:r>
      <w:r w:rsidR="00F03D4D" w:rsidRPr="001056B3">
        <w:rPr>
          <w:rFonts w:ascii="Georgia" w:hAnsi="Georgia"/>
        </w:rPr>
        <w:t xml:space="preserve"> in certain off-hours. This increase in</w:t>
      </w:r>
      <w:r w:rsidR="00954B07">
        <w:rPr>
          <w:rFonts w:ascii="Georgia" w:hAnsi="Georgia"/>
        </w:rPr>
        <w:t xml:space="preserve"> stretches</w:t>
      </w:r>
      <w:r w:rsidR="00F03D4D" w:rsidRPr="001056B3">
        <w:rPr>
          <w:rFonts w:ascii="Georgia" w:hAnsi="Georgia"/>
        </w:rPr>
        <w:t xml:space="preserve"> of illiquidity</w:t>
      </w:r>
      <w:r w:rsidR="00FF668B">
        <w:rPr>
          <w:rFonts w:ascii="Georgia" w:hAnsi="Georgia"/>
        </w:rPr>
        <w:t xml:space="preserve"> </w:t>
      </w:r>
      <w:r w:rsidR="00F03D4D" w:rsidRPr="001056B3">
        <w:rPr>
          <w:rFonts w:ascii="Georgia" w:hAnsi="Georgia"/>
        </w:rPr>
        <w:t>introduces new risk for the automated system</w:t>
      </w:r>
      <w:r>
        <w:rPr>
          <w:rFonts w:ascii="Georgia" w:hAnsi="Georgia"/>
        </w:rPr>
        <w:t>, allowing n</w:t>
      </w:r>
      <w:r w:rsidR="00FA3EF1" w:rsidRPr="001056B3">
        <w:rPr>
          <w:rFonts w:ascii="Georgia" w:hAnsi="Georgia"/>
        </w:rPr>
        <w:t>efarious actors to engage in destabilizing trading activity designed, among other things, to trigger automatic margin call-</w:t>
      </w:r>
      <w:r w:rsidR="008654FB" w:rsidRPr="001056B3">
        <w:rPr>
          <w:rFonts w:ascii="Georgia" w:hAnsi="Georgia"/>
        </w:rPr>
        <w:t>liquidations</w:t>
      </w:r>
      <w:r w:rsidR="00FA3EF1" w:rsidRPr="001056B3">
        <w:rPr>
          <w:rFonts w:ascii="Georgia" w:hAnsi="Georgia"/>
        </w:rPr>
        <w:t xml:space="preserve"> against rivals.</w:t>
      </w:r>
      <w:r w:rsidR="00933904">
        <w:rPr>
          <w:rFonts w:ascii="Georgia" w:hAnsi="Georgia"/>
        </w:rPr>
        <w:t xml:space="preserve"> This, in turn, could result in </w:t>
      </w:r>
      <w:r w:rsidR="000C2185">
        <w:rPr>
          <w:rFonts w:ascii="Georgia" w:hAnsi="Georgia"/>
        </w:rPr>
        <w:t xml:space="preserve">extreme </w:t>
      </w:r>
      <w:r w:rsidR="00933904">
        <w:rPr>
          <w:rFonts w:ascii="Georgia" w:hAnsi="Georgia"/>
        </w:rPr>
        <w:t xml:space="preserve">volatility </w:t>
      </w:r>
      <w:r w:rsidR="008654FB">
        <w:rPr>
          <w:rFonts w:ascii="Georgia" w:hAnsi="Georgia"/>
        </w:rPr>
        <w:t>exacerbated</w:t>
      </w:r>
      <w:r w:rsidR="00933904">
        <w:rPr>
          <w:rFonts w:ascii="Georgia" w:hAnsi="Georgia"/>
        </w:rPr>
        <w:t xml:space="preserve"> by the automated</w:t>
      </w:r>
      <w:r w:rsidR="0058188E">
        <w:rPr>
          <w:rFonts w:ascii="Georgia" w:hAnsi="Georgia"/>
        </w:rPr>
        <w:t xml:space="preserve"> margin calls and position liquidations.</w:t>
      </w:r>
    </w:p>
    <w:p w14:paraId="2BBFD151" w14:textId="77777777" w:rsidR="005F0275" w:rsidRDefault="005F0275" w:rsidP="005F0275">
      <w:pPr>
        <w:pStyle w:val="ListParagraph"/>
        <w:ind w:left="1440"/>
        <w:rPr>
          <w:rFonts w:ascii="Georgia" w:hAnsi="Georgia"/>
        </w:rPr>
      </w:pPr>
    </w:p>
    <w:p w14:paraId="5905D7B5" w14:textId="08D68EF5" w:rsidR="00F7604C" w:rsidRPr="008654FB" w:rsidRDefault="001758A9" w:rsidP="00F7604C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 w:rsidRPr="008654FB">
        <w:rPr>
          <w:rFonts w:ascii="Georgia" w:hAnsi="Georgia"/>
          <w:b/>
          <w:bCs/>
        </w:rPr>
        <w:t xml:space="preserve">Margin should only be satisfied with cash, not volatile </w:t>
      </w:r>
      <w:r w:rsidR="00547A6F" w:rsidRPr="008654FB">
        <w:rPr>
          <w:rFonts w:ascii="Georgia" w:hAnsi="Georgia"/>
          <w:b/>
          <w:bCs/>
        </w:rPr>
        <w:t>cryptocurrencies.</w:t>
      </w:r>
    </w:p>
    <w:p w14:paraId="197F32DA" w14:textId="0C793308" w:rsidR="00547A6F" w:rsidRDefault="00547A6F" w:rsidP="00547A6F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The FTX proposal offers traders to satisfy initial and </w:t>
      </w:r>
      <w:r w:rsidR="00E7089B">
        <w:rPr>
          <w:rFonts w:ascii="Georgia" w:hAnsi="Georgia"/>
        </w:rPr>
        <w:t xml:space="preserve">maintenance margin with cryptocurrency. Relying upon highly volatile, unstable currencies to </w:t>
      </w:r>
      <w:r w:rsidR="00AA0A0A">
        <w:rPr>
          <w:rFonts w:ascii="Georgia" w:hAnsi="Georgia"/>
        </w:rPr>
        <w:t>meet</w:t>
      </w:r>
      <w:r w:rsidR="00E7089B">
        <w:rPr>
          <w:rFonts w:ascii="Georgia" w:hAnsi="Georgia"/>
        </w:rPr>
        <w:t xml:space="preserve"> margin requirements </w:t>
      </w:r>
      <w:r w:rsidR="00884ECA">
        <w:rPr>
          <w:rFonts w:ascii="Georgia" w:hAnsi="Georgia"/>
        </w:rPr>
        <w:t xml:space="preserve">will </w:t>
      </w:r>
      <w:r w:rsidR="00AA0A0A" w:rsidRPr="001611F8">
        <w:rPr>
          <w:rFonts w:ascii="Georgia" w:hAnsi="Georgia"/>
        </w:rPr>
        <w:t>amplify volatility</w:t>
      </w:r>
      <w:r w:rsidR="00AA0A0A">
        <w:rPr>
          <w:rFonts w:ascii="Georgia" w:hAnsi="Georgia"/>
        </w:rPr>
        <w:t xml:space="preserve"> and </w:t>
      </w:r>
      <w:r w:rsidR="00884ECA">
        <w:rPr>
          <w:rFonts w:ascii="Georgia" w:hAnsi="Georgia"/>
        </w:rPr>
        <w:t>undermine systemic risk</w:t>
      </w:r>
      <w:r w:rsidR="005F0275">
        <w:rPr>
          <w:rFonts w:ascii="Georgia" w:hAnsi="Georgia"/>
        </w:rPr>
        <w:t>.</w:t>
      </w:r>
      <w:r w:rsidR="00660575" w:rsidRPr="001611F8">
        <w:rPr>
          <w:rFonts w:ascii="Georgia" w:hAnsi="Georgia"/>
        </w:rPr>
        <w:t xml:space="preserve"> </w:t>
      </w:r>
    </w:p>
    <w:p w14:paraId="0DC68E35" w14:textId="77777777" w:rsidR="005F0275" w:rsidRDefault="005F0275" w:rsidP="005F0275">
      <w:pPr>
        <w:pStyle w:val="ListParagraph"/>
        <w:ind w:left="1440"/>
        <w:rPr>
          <w:rFonts w:ascii="Georgia" w:hAnsi="Georgia"/>
        </w:rPr>
      </w:pPr>
    </w:p>
    <w:p w14:paraId="73215400" w14:textId="1E27FDB5" w:rsidR="00CA052C" w:rsidRPr="008654FB" w:rsidRDefault="00DC0B13" w:rsidP="00CA052C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 w:rsidRPr="008654FB">
        <w:rPr>
          <w:rFonts w:ascii="Georgia" w:hAnsi="Georgia"/>
          <w:b/>
          <w:bCs/>
        </w:rPr>
        <w:t xml:space="preserve">The proposal’s promise of data transparency must result in direct, unfiltered access </w:t>
      </w:r>
      <w:r w:rsidR="00926649" w:rsidRPr="008654FB">
        <w:rPr>
          <w:rFonts w:ascii="Georgia" w:hAnsi="Georgia"/>
          <w:b/>
          <w:bCs/>
        </w:rPr>
        <w:t xml:space="preserve">for the Commission’s enforcement staff and </w:t>
      </w:r>
      <w:r w:rsidR="005247B6" w:rsidRPr="008654FB">
        <w:rPr>
          <w:rFonts w:ascii="Georgia" w:hAnsi="Georgia"/>
          <w:b/>
          <w:bCs/>
        </w:rPr>
        <w:t>enhanced levels of free data access for</w:t>
      </w:r>
      <w:r w:rsidR="00926649" w:rsidRPr="008654FB">
        <w:rPr>
          <w:rFonts w:ascii="Georgia" w:hAnsi="Georgia"/>
          <w:b/>
          <w:bCs/>
        </w:rPr>
        <w:t xml:space="preserve"> the general public.</w:t>
      </w:r>
      <w:r w:rsidR="00D62F68" w:rsidRPr="008654FB">
        <w:rPr>
          <w:rFonts w:ascii="Georgia" w:hAnsi="Georgia"/>
          <w:b/>
          <w:bCs/>
        </w:rPr>
        <w:t xml:space="preserve"> A goal of maximum data transparency for regulators and the public will help result in </w:t>
      </w:r>
      <w:r w:rsidR="00C833B2" w:rsidRPr="008654FB">
        <w:rPr>
          <w:rFonts w:ascii="Georgia" w:hAnsi="Georgia"/>
          <w:b/>
          <w:bCs/>
        </w:rPr>
        <w:t>stronger market performance.</w:t>
      </w:r>
    </w:p>
    <w:p w14:paraId="5CA1DF42" w14:textId="77777777" w:rsidR="005F0275" w:rsidRDefault="005F0275" w:rsidP="005F0275">
      <w:pPr>
        <w:pStyle w:val="ListParagraph"/>
        <w:rPr>
          <w:rFonts w:ascii="Georgia" w:hAnsi="Georgia"/>
        </w:rPr>
      </w:pPr>
    </w:p>
    <w:p w14:paraId="5C46C47A" w14:textId="3B7269D8" w:rsidR="00C833B2" w:rsidRPr="008654FB" w:rsidRDefault="00C833B2" w:rsidP="00CA052C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 w:rsidRPr="008654FB">
        <w:rPr>
          <w:rFonts w:ascii="Georgia" w:hAnsi="Georgia"/>
          <w:b/>
          <w:bCs/>
        </w:rPr>
        <w:t>FTX must undergo significant governance and transparency</w:t>
      </w:r>
      <w:r w:rsidR="00A17B01" w:rsidRPr="008654FB">
        <w:rPr>
          <w:rFonts w:ascii="Georgia" w:hAnsi="Georgia"/>
          <w:b/>
          <w:bCs/>
        </w:rPr>
        <w:t xml:space="preserve"> reforms.</w:t>
      </w:r>
      <w:r w:rsidR="00E056F1" w:rsidRPr="008654FB">
        <w:rPr>
          <w:rFonts w:ascii="Georgia" w:hAnsi="Georgia"/>
          <w:b/>
          <w:bCs/>
        </w:rPr>
        <w:t xml:space="preserve"> The </w:t>
      </w:r>
      <w:r w:rsidR="005A73B9" w:rsidRPr="008654FB">
        <w:rPr>
          <w:rFonts w:ascii="Georgia" w:hAnsi="Georgia"/>
          <w:b/>
          <w:bCs/>
        </w:rPr>
        <w:t>ultimate</w:t>
      </w:r>
      <w:r w:rsidR="00E056F1" w:rsidRPr="008654FB">
        <w:rPr>
          <w:rFonts w:ascii="Georgia" w:hAnsi="Georgia"/>
          <w:b/>
          <w:bCs/>
        </w:rPr>
        <w:t xml:space="preserve"> parent company of </w:t>
      </w:r>
      <w:r w:rsidR="006B1C6E" w:rsidRPr="008654FB">
        <w:rPr>
          <w:rFonts w:ascii="Georgia" w:hAnsi="Georgia"/>
          <w:b/>
          <w:bCs/>
        </w:rPr>
        <w:t>FTX US Derivatives</w:t>
      </w:r>
      <w:r w:rsidR="00AB3ED5" w:rsidRPr="008654FB">
        <w:rPr>
          <w:rFonts w:ascii="Georgia" w:hAnsi="Georgia"/>
          <w:b/>
          <w:bCs/>
        </w:rPr>
        <w:t xml:space="preserve"> does not </w:t>
      </w:r>
      <w:r w:rsidR="009722D9" w:rsidRPr="008654FB">
        <w:rPr>
          <w:rFonts w:ascii="Georgia" w:hAnsi="Georgia"/>
          <w:b/>
          <w:bCs/>
        </w:rPr>
        <w:t>feature</w:t>
      </w:r>
      <w:r w:rsidR="00AB3ED5" w:rsidRPr="008654FB">
        <w:rPr>
          <w:rFonts w:ascii="Georgia" w:hAnsi="Georgia"/>
          <w:b/>
          <w:bCs/>
        </w:rPr>
        <w:t xml:space="preserve"> an independent board of directors and is incorporated </w:t>
      </w:r>
      <w:r w:rsidR="00A10866" w:rsidRPr="008654FB">
        <w:rPr>
          <w:rFonts w:ascii="Georgia" w:hAnsi="Georgia"/>
          <w:b/>
          <w:bCs/>
        </w:rPr>
        <w:t>in an offshore jurisdiction that</w:t>
      </w:r>
      <w:r w:rsidR="00AF3DA1" w:rsidRPr="008654FB">
        <w:rPr>
          <w:rFonts w:ascii="Georgia" w:hAnsi="Georgia"/>
          <w:b/>
          <w:bCs/>
        </w:rPr>
        <w:t xml:space="preserve"> undermines corporate transparency and</w:t>
      </w:r>
      <w:r w:rsidR="00EB7850" w:rsidRPr="008654FB">
        <w:rPr>
          <w:rFonts w:ascii="Georgia" w:hAnsi="Georgia"/>
          <w:b/>
          <w:bCs/>
        </w:rPr>
        <w:t xml:space="preserve"> liability exposure.</w:t>
      </w:r>
    </w:p>
    <w:p w14:paraId="0F9FC725" w14:textId="77777777" w:rsidR="00D801DE" w:rsidRDefault="00D801DE" w:rsidP="00764190">
      <w:pPr>
        <w:rPr>
          <w:rFonts w:ascii="Georgia" w:hAnsi="Georgia"/>
        </w:rPr>
      </w:pPr>
    </w:p>
    <w:p w14:paraId="0FFDCABC" w14:textId="4DEEEAF3" w:rsidR="00B75BD4" w:rsidRPr="001056B3" w:rsidRDefault="005F0275">
      <w:pPr>
        <w:rPr>
          <w:rFonts w:ascii="Georgia" w:hAnsi="Georgia"/>
        </w:rPr>
      </w:pPr>
      <w:r>
        <w:rPr>
          <w:rFonts w:ascii="Georgia" w:hAnsi="Georgia"/>
        </w:rPr>
        <w:t>Respectfully submitted,</w:t>
      </w:r>
    </w:p>
    <w:p w14:paraId="74A44B20" w14:textId="77777777" w:rsidR="006D13E3" w:rsidRPr="001056B3" w:rsidRDefault="006D13E3">
      <w:pPr>
        <w:rPr>
          <w:rFonts w:ascii="Georgia" w:hAnsi="Georgia"/>
        </w:rPr>
      </w:pPr>
    </w:p>
    <w:p w14:paraId="1CA11620" w14:textId="1F763FEE" w:rsidR="006D13E3" w:rsidRPr="001056B3" w:rsidRDefault="006D13E3">
      <w:pPr>
        <w:rPr>
          <w:rFonts w:ascii="Georgia" w:hAnsi="Georgia"/>
        </w:rPr>
      </w:pPr>
      <w:r w:rsidRPr="001056B3">
        <w:rPr>
          <w:rFonts w:ascii="Georgia" w:hAnsi="Georgia"/>
        </w:rPr>
        <w:t>Tyson Slocum, Energy Program Director</w:t>
      </w:r>
    </w:p>
    <w:p w14:paraId="7DAA80D5" w14:textId="3235C5ED" w:rsidR="00B75BD4" w:rsidRPr="001056B3" w:rsidRDefault="00D075E2">
      <w:pPr>
        <w:rPr>
          <w:rFonts w:ascii="Georgia" w:hAnsi="Georgia"/>
        </w:rPr>
      </w:pPr>
      <w:hyperlink r:id="rId8" w:history="1">
        <w:r w:rsidR="00B75BD4" w:rsidRPr="001056B3">
          <w:rPr>
            <w:rStyle w:val="Hyperlink"/>
            <w:rFonts w:ascii="Georgia" w:hAnsi="Georgia"/>
            <w:color w:val="auto"/>
            <w:u w:val="none"/>
          </w:rPr>
          <w:t>tslocum@citizen.org</w:t>
        </w:r>
      </w:hyperlink>
    </w:p>
    <w:p w14:paraId="1671BE10" w14:textId="77777777" w:rsidR="00135F27" w:rsidRPr="00452565" w:rsidRDefault="00135F27" w:rsidP="00135F27">
      <w:pPr>
        <w:rPr>
          <w:rStyle w:val="Hyperlink"/>
          <w:rFonts w:ascii="Georgia" w:hAnsi="Georgia"/>
          <w:i/>
          <w:iCs/>
          <w:color w:val="auto"/>
          <w:u w:val="none"/>
        </w:rPr>
      </w:pPr>
      <w:r w:rsidRPr="00452565">
        <w:rPr>
          <w:rStyle w:val="Hyperlink"/>
          <w:rFonts w:ascii="Georgia" w:hAnsi="Georgia"/>
          <w:i/>
          <w:iCs/>
          <w:color w:val="auto"/>
          <w:u w:val="none"/>
        </w:rPr>
        <w:t>Member, CFTC Energy &amp; Environmental Markets Advisory Committee, and</w:t>
      </w:r>
    </w:p>
    <w:p w14:paraId="24953AA4" w14:textId="77777777" w:rsidR="00135F27" w:rsidRPr="00883B58" w:rsidRDefault="00135F27" w:rsidP="00135F27">
      <w:pPr>
        <w:rPr>
          <w:rFonts w:ascii="Georgia" w:hAnsi="Georgia"/>
        </w:rPr>
      </w:pPr>
      <w:r w:rsidRPr="00452565">
        <w:rPr>
          <w:rStyle w:val="Hyperlink"/>
          <w:rFonts w:ascii="Georgia" w:hAnsi="Georgia"/>
          <w:i/>
          <w:iCs/>
          <w:color w:val="auto"/>
          <w:u w:val="none"/>
        </w:rPr>
        <w:t>CFTC Market Risk Advisory Committee</w:t>
      </w:r>
    </w:p>
    <w:p w14:paraId="6C033B4E" w14:textId="0972DC15" w:rsidR="00B75BD4" w:rsidRPr="001056B3" w:rsidRDefault="00B75BD4">
      <w:pPr>
        <w:rPr>
          <w:rFonts w:ascii="Georgia" w:hAnsi="Georgia"/>
        </w:rPr>
      </w:pPr>
    </w:p>
    <w:sectPr w:rsidR="00B75BD4" w:rsidRPr="001056B3" w:rsidSect="0052020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767E" w14:textId="77777777" w:rsidR="00D075E2" w:rsidRDefault="00D075E2" w:rsidP="00D32512">
      <w:r>
        <w:separator/>
      </w:r>
    </w:p>
  </w:endnote>
  <w:endnote w:type="continuationSeparator" w:id="0">
    <w:p w14:paraId="2A03E466" w14:textId="77777777" w:rsidR="00D075E2" w:rsidRDefault="00D075E2" w:rsidP="00D3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ckout-HTF32-JuniorCruiserw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420E" w14:textId="35C32B9B" w:rsidR="003D5CB7" w:rsidRPr="003D5CB7" w:rsidRDefault="0023270C" w:rsidP="0023270C">
    <w:pPr>
      <w:ind w:left="-144" w:right="-144"/>
      <w:jc w:val="center"/>
      <w:rPr>
        <w:rFonts w:ascii="Knockout-HTF32-JuniorCruiserwt" w:eastAsia="Times New Roman" w:hAnsi="Knockout-HTF32-JuniorCruiserwt" w:cs="Times New Roman"/>
      </w:rPr>
    </w:pPr>
    <w:r w:rsidRPr="0023270C"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215 Pennsylvania Ave</w:t>
    </w:r>
    <w:r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.</w:t>
    </w:r>
    <w:r w:rsidRPr="0023270C"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 xml:space="preserve"> SE</w:t>
    </w:r>
    <w:r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,</w:t>
    </w:r>
    <w:r w:rsidRPr="0023270C"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 xml:space="preserve"> Washington, D.C. 20003 </w:t>
    </w:r>
    <w:r w:rsidR="003D5CB7" w:rsidRPr="003D5CB7"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• (</w:t>
    </w:r>
    <w:r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202</w:t>
    </w:r>
    <w:r w:rsidR="003D5CB7" w:rsidRPr="003D5CB7"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 xml:space="preserve">) </w:t>
    </w:r>
    <w:r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588</w:t>
    </w:r>
    <w:r w:rsidR="003D5CB7" w:rsidRPr="003D5CB7"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-1</w:t>
    </w:r>
    <w:r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 xml:space="preserve">000 </w:t>
    </w:r>
    <w:r w:rsidR="003D5CB7" w:rsidRPr="003D5CB7">
      <w:rPr>
        <w:rFonts w:ascii="Knockout-HTF32-JuniorCruiserwt" w:eastAsia="Times New Roman" w:hAnsi="Knockout-HTF32-JuniorCruiserwt" w:cs="Times New Roman"/>
        <w:color w:val="001742"/>
        <w:sz w:val="22"/>
        <w:szCs w:val="22"/>
      </w:rPr>
      <w:t>• </w:t>
    </w:r>
    <w:hyperlink r:id="rId1" w:tooltip="http://www.citizen.org/texas" w:history="1">
      <w:r w:rsidR="003D5CB7" w:rsidRPr="003D5CB7">
        <w:rPr>
          <w:rFonts w:ascii="Knockout-HTF32-JuniorCruiserwt" w:eastAsia="Times New Roman" w:hAnsi="Knockout-HTF32-JuniorCruiserwt" w:cs="Times New Roman"/>
          <w:color w:val="001742"/>
          <w:sz w:val="22"/>
          <w:szCs w:val="22"/>
        </w:rPr>
        <w:t>www.citizen.org</w:t>
      </w:r>
    </w:hyperlink>
  </w:p>
  <w:p w14:paraId="349457B4" w14:textId="55C7407E" w:rsidR="00F36C97" w:rsidRPr="003D5CB7" w:rsidRDefault="00F36C97" w:rsidP="0023270C">
    <w:pPr>
      <w:pStyle w:val="Footer"/>
      <w:tabs>
        <w:tab w:val="clear" w:pos="4320"/>
        <w:tab w:val="clear" w:pos="8640"/>
        <w:tab w:val="left" w:pos="900"/>
      </w:tabs>
      <w:ind w:left="-144" w:right="-144"/>
      <w:jc w:val="center"/>
      <w:rPr>
        <w:rFonts w:ascii="Knockout-HTF32-JuniorCruiserwt" w:hAnsi="Knockout-HTF32-JuniorCruiserw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FFCB" w14:textId="77777777" w:rsidR="00D075E2" w:rsidRDefault="00D075E2" w:rsidP="00D32512">
      <w:r>
        <w:separator/>
      </w:r>
    </w:p>
  </w:footnote>
  <w:footnote w:type="continuationSeparator" w:id="0">
    <w:p w14:paraId="2D676899" w14:textId="77777777" w:rsidR="00D075E2" w:rsidRDefault="00D075E2" w:rsidP="00D32512">
      <w:r>
        <w:continuationSeparator/>
      </w:r>
    </w:p>
  </w:footnote>
  <w:footnote w:id="1">
    <w:p w14:paraId="65D11FCE" w14:textId="6528F443" w:rsidR="006D1BBE" w:rsidRDefault="006D1B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1BBE">
        <w:rPr>
          <w:rFonts w:ascii="Georgia" w:hAnsi="Georgia"/>
        </w:rPr>
        <w:t>www.cftc.gov/PressRoom/Events/opaeventstaffroundtable052522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B6F9" w14:textId="4CEFFADA" w:rsidR="003F7E72" w:rsidRPr="000A383A" w:rsidRDefault="001D40ED" w:rsidP="00F36C97">
    <w:pPr>
      <w:pStyle w:val="Header"/>
      <w:jc w:val="center"/>
      <w:rPr>
        <w:rFonts w:ascii="Arial" w:hAnsi="Arial" w:cs="Arial"/>
        <w:b/>
        <w:color w:val="4F81BD" w:themeColor="accent1"/>
      </w:rPr>
    </w:pPr>
    <w:r>
      <w:rPr>
        <w:rFonts w:ascii="Times" w:hAnsi="Times"/>
        <w:noProof/>
      </w:rPr>
      <w:drawing>
        <wp:inline distT="0" distB="0" distL="0" distR="0" wp14:anchorId="2D7750F7" wp14:editId="5569F06A">
          <wp:extent cx="3365500" cy="812800"/>
          <wp:effectExtent l="0" t="0" r="0" b="0"/>
          <wp:docPr id="2" name="Picture 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55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D5F"/>
    <w:multiLevelType w:val="hybridMultilevel"/>
    <w:tmpl w:val="8DAA5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0123"/>
    <w:multiLevelType w:val="hybridMultilevel"/>
    <w:tmpl w:val="9B90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40542">
    <w:abstractNumId w:val="1"/>
  </w:num>
  <w:num w:numId="2" w16cid:durableId="81792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12"/>
    <w:rsid w:val="000049AF"/>
    <w:rsid w:val="0001228D"/>
    <w:rsid w:val="00016664"/>
    <w:rsid w:val="0002350F"/>
    <w:rsid w:val="00026621"/>
    <w:rsid w:val="000312B5"/>
    <w:rsid w:val="000370C8"/>
    <w:rsid w:val="000576F6"/>
    <w:rsid w:val="00093112"/>
    <w:rsid w:val="000A383A"/>
    <w:rsid w:val="000A4190"/>
    <w:rsid w:val="000A60D2"/>
    <w:rsid w:val="000A6D09"/>
    <w:rsid w:val="000B31EE"/>
    <w:rsid w:val="000B3B98"/>
    <w:rsid w:val="000B5138"/>
    <w:rsid w:val="000C02BF"/>
    <w:rsid w:val="000C2185"/>
    <w:rsid w:val="000C3DE0"/>
    <w:rsid w:val="000C5A06"/>
    <w:rsid w:val="001056B3"/>
    <w:rsid w:val="0013211B"/>
    <w:rsid w:val="00135F27"/>
    <w:rsid w:val="00144E6C"/>
    <w:rsid w:val="001611F8"/>
    <w:rsid w:val="00162A03"/>
    <w:rsid w:val="001713EF"/>
    <w:rsid w:val="001758A9"/>
    <w:rsid w:val="00175A60"/>
    <w:rsid w:val="001845CA"/>
    <w:rsid w:val="001921E9"/>
    <w:rsid w:val="001A6422"/>
    <w:rsid w:val="001B484F"/>
    <w:rsid w:val="001C305A"/>
    <w:rsid w:val="001C3086"/>
    <w:rsid w:val="001D40ED"/>
    <w:rsid w:val="001D44FA"/>
    <w:rsid w:val="001E5DC1"/>
    <w:rsid w:val="00211143"/>
    <w:rsid w:val="002160A6"/>
    <w:rsid w:val="0023270C"/>
    <w:rsid w:val="002374AE"/>
    <w:rsid w:val="00240BBD"/>
    <w:rsid w:val="002423C1"/>
    <w:rsid w:val="002464F1"/>
    <w:rsid w:val="002465AA"/>
    <w:rsid w:val="00247444"/>
    <w:rsid w:val="00261E77"/>
    <w:rsid w:val="00281DB6"/>
    <w:rsid w:val="002A6140"/>
    <w:rsid w:val="002B4BCF"/>
    <w:rsid w:val="002C3336"/>
    <w:rsid w:val="002E6C68"/>
    <w:rsid w:val="002F182A"/>
    <w:rsid w:val="003131FE"/>
    <w:rsid w:val="00333F7B"/>
    <w:rsid w:val="00350B20"/>
    <w:rsid w:val="00351BB2"/>
    <w:rsid w:val="00374063"/>
    <w:rsid w:val="00382C4D"/>
    <w:rsid w:val="003939D8"/>
    <w:rsid w:val="003A258D"/>
    <w:rsid w:val="003A46F6"/>
    <w:rsid w:val="003D5CB7"/>
    <w:rsid w:val="003F3802"/>
    <w:rsid w:val="003F7E72"/>
    <w:rsid w:val="00403048"/>
    <w:rsid w:val="004108D4"/>
    <w:rsid w:val="004172C0"/>
    <w:rsid w:val="00424664"/>
    <w:rsid w:val="004316EA"/>
    <w:rsid w:val="004369A7"/>
    <w:rsid w:val="00452565"/>
    <w:rsid w:val="00456030"/>
    <w:rsid w:val="00457F3F"/>
    <w:rsid w:val="00461677"/>
    <w:rsid w:val="00466D13"/>
    <w:rsid w:val="0046797E"/>
    <w:rsid w:val="00477D63"/>
    <w:rsid w:val="00480F44"/>
    <w:rsid w:val="004A67B1"/>
    <w:rsid w:val="004B0984"/>
    <w:rsid w:val="004B529A"/>
    <w:rsid w:val="005123AA"/>
    <w:rsid w:val="00520202"/>
    <w:rsid w:val="005247B6"/>
    <w:rsid w:val="00547A6F"/>
    <w:rsid w:val="00577F52"/>
    <w:rsid w:val="0058188E"/>
    <w:rsid w:val="00586A46"/>
    <w:rsid w:val="00586E87"/>
    <w:rsid w:val="00592896"/>
    <w:rsid w:val="005A727C"/>
    <w:rsid w:val="005A73B9"/>
    <w:rsid w:val="005D52C0"/>
    <w:rsid w:val="005E6674"/>
    <w:rsid w:val="005F0275"/>
    <w:rsid w:val="005F6C73"/>
    <w:rsid w:val="00623B14"/>
    <w:rsid w:val="006339C9"/>
    <w:rsid w:val="00635FB4"/>
    <w:rsid w:val="0065790E"/>
    <w:rsid w:val="00660575"/>
    <w:rsid w:val="00670E0B"/>
    <w:rsid w:val="00670F9E"/>
    <w:rsid w:val="00671ABD"/>
    <w:rsid w:val="00680780"/>
    <w:rsid w:val="006833D3"/>
    <w:rsid w:val="00687663"/>
    <w:rsid w:val="00690277"/>
    <w:rsid w:val="006B1C6E"/>
    <w:rsid w:val="006C433B"/>
    <w:rsid w:val="006D13E3"/>
    <w:rsid w:val="006D1BBE"/>
    <w:rsid w:val="006D5586"/>
    <w:rsid w:val="006E45E0"/>
    <w:rsid w:val="006E5C43"/>
    <w:rsid w:val="006F48C9"/>
    <w:rsid w:val="0070419E"/>
    <w:rsid w:val="00714258"/>
    <w:rsid w:val="00717E26"/>
    <w:rsid w:val="007350AE"/>
    <w:rsid w:val="00740503"/>
    <w:rsid w:val="007441DF"/>
    <w:rsid w:val="00756120"/>
    <w:rsid w:val="007564FF"/>
    <w:rsid w:val="007620F3"/>
    <w:rsid w:val="00762269"/>
    <w:rsid w:val="00762711"/>
    <w:rsid w:val="00764190"/>
    <w:rsid w:val="00786822"/>
    <w:rsid w:val="007B14F4"/>
    <w:rsid w:val="007E3B5D"/>
    <w:rsid w:val="007E6D0C"/>
    <w:rsid w:val="008102F5"/>
    <w:rsid w:val="00823772"/>
    <w:rsid w:val="008266E5"/>
    <w:rsid w:val="00851944"/>
    <w:rsid w:val="008654FB"/>
    <w:rsid w:val="00884ECA"/>
    <w:rsid w:val="00887674"/>
    <w:rsid w:val="008A03DC"/>
    <w:rsid w:val="008C55C2"/>
    <w:rsid w:val="008D4B30"/>
    <w:rsid w:val="008E1586"/>
    <w:rsid w:val="008E42F9"/>
    <w:rsid w:val="008E558E"/>
    <w:rsid w:val="00902751"/>
    <w:rsid w:val="00926649"/>
    <w:rsid w:val="009326C3"/>
    <w:rsid w:val="00933904"/>
    <w:rsid w:val="009439A6"/>
    <w:rsid w:val="00954B07"/>
    <w:rsid w:val="00956238"/>
    <w:rsid w:val="009618E4"/>
    <w:rsid w:val="0096233A"/>
    <w:rsid w:val="009722D9"/>
    <w:rsid w:val="00972D60"/>
    <w:rsid w:val="00983A6E"/>
    <w:rsid w:val="009A3E3E"/>
    <w:rsid w:val="009C1C53"/>
    <w:rsid w:val="009C2A96"/>
    <w:rsid w:val="009E52B5"/>
    <w:rsid w:val="00A10866"/>
    <w:rsid w:val="00A152BB"/>
    <w:rsid w:val="00A17B01"/>
    <w:rsid w:val="00A223B3"/>
    <w:rsid w:val="00A3398D"/>
    <w:rsid w:val="00A47435"/>
    <w:rsid w:val="00A50203"/>
    <w:rsid w:val="00A64BD9"/>
    <w:rsid w:val="00A74487"/>
    <w:rsid w:val="00A80C53"/>
    <w:rsid w:val="00A92BAA"/>
    <w:rsid w:val="00AA0A0A"/>
    <w:rsid w:val="00AA493C"/>
    <w:rsid w:val="00AB31F6"/>
    <w:rsid w:val="00AB3ED5"/>
    <w:rsid w:val="00AC1358"/>
    <w:rsid w:val="00AC4981"/>
    <w:rsid w:val="00AF3DA1"/>
    <w:rsid w:val="00AF65D9"/>
    <w:rsid w:val="00B002AE"/>
    <w:rsid w:val="00B25761"/>
    <w:rsid w:val="00B30A63"/>
    <w:rsid w:val="00B53E56"/>
    <w:rsid w:val="00B5443A"/>
    <w:rsid w:val="00B546CF"/>
    <w:rsid w:val="00B75BD4"/>
    <w:rsid w:val="00BB01AA"/>
    <w:rsid w:val="00BC42FF"/>
    <w:rsid w:val="00BC7123"/>
    <w:rsid w:val="00C04572"/>
    <w:rsid w:val="00C11A44"/>
    <w:rsid w:val="00C325FD"/>
    <w:rsid w:val="00C46937"/>
    <w:rsid w:val="00C62E4E"/>
    <w:rsid w:val="00C7463E"/>
    <w:rsid w:val="00C827BD"/>
    <w:rsid w:val="00C833B2"/>
    <w:rsid w:val="00C93A0A"/>
    <w:rsid w:val="00CA052C"/>
    <w:rsid w:val="00CA275F"/>
    <w:rsid w:val="00CB26DD"/>
    <w:rsid w:val="00D03199"/>
    <w:rsid w:val="00D075E2"/>
    <w:rsid w:val="00D231DE"/>
    <w:rsid w:val="00D32512"/>
    <w:rsid w:val="00D36A53"/>
    <w:rsid w:val="00D62F68"/>
    <w:rsid w:val="00D801DE"/>
    <w:rsid w:val="00D861D3"/>
    <w:rsid w:val="00D9205A"/>
    <w:rsid w:val="00D96B42"/>
    <w:rsid w:val="00DA4B64"/>
    <w:rsid w:val="00DB0B3A"/>
    <w:rsid w:val="00DB4FED"/>
    <w:rsid w:val="00DB5079"/>
    <w:rsid w:val="00DC024D"/>
    <w:rsid w:val="00DC0B13"/>
    <w:rsid w:val="00DC5824"/>
    <w:rsid w:val="00DD3953"/>
    <w:rsid w:val="00DE3534"/>
    <w:rsid w:val="00DF5D72"/>
    <w:rsid w:val="00E056F1"/>
    <w:rsid w:val="00E20178"/>
    <w:rsid w:val="00E311F0"/>
    <w:rsid w:val="00E41FAB"/>
    <w:rsid w:val="00E4298E"/>
    <w:rsid w:val="00E54977"/>
    <w:rsid w:val="00E62633"/>
    <w:rsid w:val="00E707C8"/>
    <w:rsid w:val="00E7089B"/>
    <w:rsid w:val="00E73430"/>
    <w:rsid w:val="00E81F3A"/>
    <w:rsid w:val="00E86302"/>
    <w:rsid w:val="00EA1ABB"/>
    <w:rsid w:val="00EA6EA0"/>
    <w:rsid w:val="00EA7DE4"/>
    <w:rsid w:val="00EB7850"/>
    <w:rsid w:val="00EC19B3"/>
    <w:rsid w:val="00ED408D"/>
    <w:rsid w:val="00EE13A9"/>
    <w:rsid w:val="00F03D4D"/>
    <w:rsid w:val="00F10E9A"/>
    <w:rsid w:val="00F33525"/>
    <w:rsid w:val="00F35974"/>
    <w:rsid w:val="00F36C97"/>
    <w:rsid w:val="00F43946"/>
    <w:rsid w:val="00F64C4B"/>
    <w:rsid w:val="00F66C1E"/>
    <w:rsid w:val="00F742A6"/>
    <w:rsid w:val="00F7604C"/>
    <w:rsid w:val="00F834AC"/>
    <w:rsid w:val="00F83CFA"/>
    <w:rsid w:val="00F87E31"/>
    <w:rsid w:val="00FA3EF1"/>
    <w:rsid w:val="00FB0EB7"/>
    <w:rsid w:val="00FB262A"/>
    <w:rsid w:val="00FC4AC1"/>
    <w:rsid w:val="00FD255D"/>
    <w:rsid w:val="00FE5374"/>
    <w:rsid w:val="00FF66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3FE562"/>
  <w15:docId w15:val="{CC707BB4-0E23-394B-AA88-C8A9E112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512"/>
  </w:style>
  <w:style w:type="paragraph" w:styleId="Footer">
    <w:name w:val="footer"/>
    <w:basedOn w:val="Normal"/>
    <w:link w:val="FooterChar"/>
    <w:uiPriority w:val="99"/>
    <w:unhideWhenUsed/>
    <w:rsid w:val="00D32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12"/>
  </w:style>
  <w:style w:type="paragraph" w:styleId="BalloonText">
    <w:name w:val="Balloon Text"/>
    <w:basedOn w:val="Normal"/>
    <w:link w:val="BalloonTextChar"/>
    <w:uiPriority w:val="99"/>
    <w:semiHidden/>
    <w:unhideWhenUsed/>
    <w:rsid w:val="00D325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12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D5CB7"/>
  </w:style>
  <w:style w:type="character" w:styleId="Hyperlink">
    <w:name w:val="Hyperlink"/>
    <w:basedOn w:val="DefaultParagraphFont"/>
    <w:uiPriority w:val="99"/>
    <w:unhideWhenUsed/>
    <w:rsid w:val="003D5C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B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6E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1B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locum@citiz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izen.org/tex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F01A-0800-493B-92F3-E753AE00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Citizen, Inc.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Blair</dc:creator>
  <cp:keywords/>
  <dc:description/>
  <cp:lastModifiedBy>Tyson T. Slocum</cp:lastModifiedBy>
  <cp:revision>165</cp:revision>
  <dcterms:created xsi:type="dcterms:W3CDTF">2022-05-02T20:47:00Z</dcterms:created>
  <dcterms:modified xsi:type="dcterms:W3CDTF">2022-05-11T13:42:00Z</dcterms:modified>
</cp:coreProperties>
</file>