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5D5A" w14:textId="77777777" w:rsidR="00523EC0" w:rsidRDefault="00523EC0" w:rsidP="00F466CF">
      <w:pPr>
        <w:spacing w:line="280" w:lineRule="exact"/>
        <w:rPr>
          <w:sz w:val="20"/>
          <w:szCs w:val="20"/>
        </w:rPr>
      </w:pPr>
      <w:bookmarkStart w:id="0" w:name="_GoBack"/>
      <w:bookmarkEnd w:id="0"/>
    </w:p>
    <w:p w14:paraId="50E512DF" w14:textId="77777777" w:rsidR="00523EC0" w:rsidRPr="001E49CE" w:rsidRDefault="00523EC0" w:rsidP="001E49CE">
      <w:pPr>
        <w:jc w:val="center"/>
        <w:rPr>
          <w:b/>
          <w:bCs/>
          <w:i/>
          <w:iCs/>
          <w:sz w:val="22"/>
          <w:szCs w:val="22"/>
        </w:rPr>
      </w:pPr>
      <w:r w:rsidRPr="001E49CE">
        <w:rPr>
          <w:b/>
          <w:bCs/>
          <w:sz w:val="22"/>
          <w:szCs w:val="22"/>
        </w:rPr>
        <w:t>CME Group Statement on CFTC MRAC CCP Risk and Governance Subcommittee Papers</w:t>
      </w:r>
      <w:r w:rsidR="00FF449C" w:rsidRPr="001E49CE">
        <w:rPr>
          <w:b/>
          <w:bCs/>
          <w:sz w:val="22"/>
          <w:szCs w:val="22"/>
        </w:rPr>
        <w:t xml:space="preserve"> </w:t>
      </w:r>
    </w:p>
    <w:p w14:paraId="7F11D24B" w14:textId="77777777" w:rsidR="00523EC0" w:rsidRPr="001E49CE" w:rsidRDefault="00523EC0" w:rsidP="001E49CE">
      <w:pPr>
        <w:rPr>
          <w:sz w:val="22"/>
          <w:szCs w:val="22"/>
        </w:rPr>
      </w:pPr>
    </w:p>
    <w:p w14:paraId="69BD8CEA" w14:textId="24D925B5" w:rsidR="004D30DE" w:rsidRPr="001E49CE" w:rsidRDefault="00523EC0" w:rsidP="001E49CE">
      <w:pPr>
        <w:rPr>
          <w:sz w:val="22"/>
          <w:szCs w:val="22"/>
        </w:rPr>
      </w:pPr>
      <w:r w:rsidRPr="001E49CE">
        <w:rPr>
          <w:sz w:val="22"/>
          <w:szCs w:val="22"/>
        </w:rPr>
        <w:t>CME Group</w:t>
      </w:r>
      <w:r w:rsidR="00B55515" w:rsidRPr="001E49CE">
        <w:rPr>
          <w:sz w:val="22"/>
          <w:szCs w:val="22"/>
        </w:rPr>
        <w:t xml:space="preserve"> Inc. (“CME Group”)</w:t>
      </w:r>
      <w:r w:rsidR="00462523">
        <w:rPr>
          <w:rStyle w:val="FootnoteReference"/>
          <w:sz w:val="22"/>
          <w:szCs w:val="22"/>
        </w:rPr>
        <w:footnoteReference w:id="1"/>
      </w:r>
      <w:r w:rsidR="00462523">
        <w:rPr>
          <w:sz w:val="22"/>
          <w:szCs w:val="22"/>
        </w:rPr>
        <w:t xml:space="preserve"> </w:t>
      </w:r>
      <w:r w:rsidRPr="001E49CE">
        <w:rPr>
          <w:sz w:val="22"/>
          <w:szCs w:val="22"/>
        </w:rPr>
        <w:t xml:space="preserve">commends Acting Chairman Behnam for </w:t>
      </w:r>
      <w:r w:rsidR="00FF449C" w:rsidRPr="001E49CE">
        <w:rPr>
          <w:sz w:val="22"/>
          <w:szCs w:val="22"/>
        </w:rPr>
        <w:t xml:space="preserve">establishing the </w:t>
      </w:r>
      <w:r w:rsidR="00B55515" w:rsidRPr="001E49CE">
        <w:rPr>
          <w:sz w:val="22"/>
          <w:szCs w:val="22"/>
        </w:rPr>
        <w:t xml:space="preserve">Market Risk Advisory Committee’s (“MRAC”) </w:t>
      </w:r>
      <w:r w:rsidR="00FF449C" w:rsidRPr="001E49CE">
        <w:rPr>
          <w:sz w:val="22"/>
          <w:szCs w:val="22"/>
        </w:rPr>
        <w:t>CCP Risk and Governance Subcommittee</w:t>
      </w:r>
      <w:r w:rsidR="00B55515" w:rsidRPr="001E49CE">
        <w:rPr>
          <w:sz w:val="22"/>
          <w:szCs w:val="22"/>
        </w:rPr>
        <w:t xml:space="preserve"> (“Subcommittee”)</w:t>
      </w:r>
      <w:r w:rsidR="00645738" w:rsidRPr="001E49CE">
        <w:rPr>
          <w:sz w:val="22"/>
          <w:szCs w:val="22"/>
        </w:rPr>
        <w:t>.</w:t>
      </w:r>
      <w:r w:rsidR="004D30DE" w:rsidRPr="001E49CE">
        <w:rPr>
          <w:sz w:val="22"/>
          <w:szCs w:val="22"/>
        </w:rPr>
        <w:t xml:space="preserve"> </w:t>
      </w:r>
      <w:r w:rsidR="00E035C0">
        <w:rPr>
          <w:sz w:val="22"/>
          <w:szCs w:val="22"/>
        </w:rPr>
        <w:t>T</w:t>
      </w:r>
      <w:r w:rsidR="004D30DE" w:rsidRPr="001E49CE">
        <w:rPr>
          <w:sz w:val="22"/>
          <w:szCs w:val="22"/>
        </w:rPr>
        <w:t>he Subcommittee provides a useful and effective forum for discussing areas of interest and providing recommendations to the broader MRAC, where appropriate</w:t>
      </w:r>
      <w:r w:rsidR="0091597E">
        <w:rPr>
          <w:sz w:val="22"/>
          <w:szCs w:val="22"/>
        </w:rPr>
        <w:t>, with a focus on</w:t>
      </w:r>
      <w:r w:rsidR="00793038">
        <w:rPr>
          <w:sz w:val="22"/>
          <w:szCs w:val="22"/>
        </w:rPr>
        <w:t xml:space="preserve"> the</w:t>
      </w:r>
      <w:r w:rsidR="0091597E">
        <w:rPr>
          <w:sz w:val="22"/>
          <w:szCs w:val="22"/>
        </w:rPr>
        <w:t xml:space="preserve"> stability of the broader financial system.</w:t>
      </w:r>
      <w:r w:rsidR="00B55515" w:rsidRPr="001E49CE">
        <w:rPr>
          <w:sz w:val="22"/>
          <w:szCs w:val="22"/>
        </w:rPr>
        <w:t xml:space="preserve"> </w:t>
      </w:r>
    </w:p>
    <w:p w14:paraId="27D3EF03" w14:textId="77777777" w:rsidR="00B55515" w:rsidRPr="001E49CE" w:rsidRDefault="00B55515" w:rsidP="001E49CE">
      <w:pPr>
        <w:rPr>
          <w:sz w:val="22"/>
          <w:szCs w:val="22"/>
        </w:rPr>
      </w:pPr>
    </w:p>
    <w:p w14:paraId="0884FF30" w14:textId="41DA1BD5" w:rsidR="00B55515" w:rsidRPr="001E49CE" w:rsidRDefault="001E49CE" w:rsidP="001E49CE">
      <w:pPr>
        <w:rPr>
          <w:sz w:val="22"/>
          <w:szCs w:val="22"/>
        </w:rPr>
      </w:pPr>
      <w:r>
        <w:rPr>
          <w:sz w:val="22"/>
          <w:szCs w:val="22"/>
        </w:rPr>
        <w:t>DCOs</w:t>
      </w:r>
      <w:r w:rsidR="0091597E">
        <w:rPr>
          <w:sz w:val="22"/>
          <w:szCs w:val="22"/>
        </w:rPr>
        <w:t xml:space="preserve"> </w:t>
      </w:r>
      <w:r w:rsidR="00AD469D">
        <w:rPr>
          <w:sz w:val="22"/>
          <w:szCs w:val="22"/>
        </w:rPr>
        <w:t>are</w:t>
      </w:r>
      <w:r w:rsidR="0091597E">
        <w:rPr>
          <w:sz w:val="22"/>
          <w:szCs w:val="22"/>
        </w:rPr>
        <w:t xml:space="preserve"> mandate</w:t>
      </w:r>
      <w:r w:rsidR="00AD469D">
        <w:rPr>
          <w:sz w:val="22"/>
          <w:szCs w:val="22"/>
        </w:rPr>
        <w:t>d</w:t>
      </w:r>
      <w:r w:rsidR="0091597E">
        <w:rPr>
          <w:sz w:val="22"/>
          <w:szCs w:val="22"/>
        </w:rPr>
        <w:t xml:space="preserve"> to </w:t>
      </w:r>
      <w:r w:rsidR="00AD469D">
        <w:rPr>
          <w:sz w:val="22"/>
          <w:szCs w:val="22"/>
        </w:rPr>
        <w:t>prioritize</w:t>
      </w:r>
      <w:r w:rsidR="00B55515" w:rsidRPr="001E49CE">
        <w:rPr>
          <w:sz w:val="22"/>
          <w:szCs w:val="22"/>
        </w:rPr>
        <w:t xml:space="preserve"> the safety of the</w:t>
      </w:r>
      <w:r w:rsidR="00AD469D">
        <w:rPr>
          <w:sz w:val="22"/>
          <w:szCs w:val="22"/>
        </w:rPr>
        <w:t>ir</w:t>
      </w:r>
      <w:r w:rsidR="00B55515" w:rsidRPr="001E49CE">
        <w:rPr>
          <w:sz w:val="22"/>
          <w:szCs w:val="22"/>
        </w:rPr>
        <w:t xml:space="preserve"> markets and stability of the broader financial system. DCOs and more broadly, cleared U.S. derivatives markets, have a long history of successfully navigating market stress events. DCOs’ successes </w:t>
      </w:r>
      <w:r w:rsidR="0088495F">
        <w:rPr>
          <w:sz w:val="22"/>
          <w:szCs w:val="22"/>
        </w:rPr>
        <w:t>are</w:t>
      </w:r>
      <w:r w:rsidR="00E035C0">
        <w:rPr>
          <w:sz w:val="22"/>
          <w:szCs w:val="22"/>
        </w:rPr>
        <w:t xml:space="preserve">, in part, due to </w:t>
      </w:r>
      <w:r w:rsidR="00B55515" w:rsidRPr="001E49CE">
        <w:rPr>
          <w:sz w:val="22"/>
          <w:szCs w:val="22"/>
        </w:rPr>
        <w:t>a structure that incentivizes risk-takers to effectively manage their risks</w:t>
      </w:r>
      <w:r w:rsidR="0091597E">
        <w:rPr>
          <w:sz w:val="22"/>
          <w:szCs w:val="22"/>
        </w:rPr>
        <w:t xml:space="preserve"> in coordination with the DCOs</w:t>
      </w:r>
      <w:r w:rsidR="00B55515" w:rsidRPr="001E49CE">
        <w:rPr>
          <w:sz w:val="22"/>
          <w:szCs w:val="22"/>
        </w:rPr>
        <w:t>.</w:t>
      </w:r>
    </w:p>
    <w:p w14:paraId="713E97A5" w14:textId="77777777" w:rsidR="00B55515" w:rsidRPr="001E49CE" w:rsidRDefault="00B55515" w:rsidP="001E49CE">
      <w:pPr>
        <w:rPr>
          <w:sz w:val="22"/>
          <w:szCs w:val="22"/>
        </w:rPr>
      </w:pPr>
    </w:p>
    <w:p w14:paraId="094C9286" w14:textId="459E6C29" w:rsidR="00645738" w:rsidRDefault="00B55515" w:rsidP="001E49CE">
      <w:pPr>
        <w:rPr>
          <w:sz w:val="22"/>
          <w:szCs w:val="22"/>
        </w:rPr>
      </w:pPr>
      <w:r w:rsidRPr="001E49CE">
        <w:rPr>
          <w:sz w:val="22"/>
          <w:szCs w:val="22"/>
        </w:rPr>
        <w:t xml:space="preserve">The Subcommittee’s </w:t>
      </w:r>
      <w:r w:rsidR="008644CF">
        <w:rPr>
          <w:sz w:val="22"/>
          <w:szCs w:val="22"/>
        </w:rPr>
        <w:t xml:space="preserve">two </w:t>
      </w:r>
      <w:r w:rsidRPr="001E49CE">
        <w:rPr>
          <w:sz w:val="22"/>
          <w:szCs w:val="22"/>
        </w:rPr>
        <w:t>papers</w:t>
      </w:r>
      <w:r w:rsidR="00140767" w:rsidRPr="001E49CE">
        <w:rPr>
          <w:sz w:val="22"/>
          <w:szCs w:val="22"/>
        </w:rPr>
        <w:t xml:space="preserve"> identify a number of </w:t>
      </w:r>
      <w:r w:rsidR="00AB23BD">
        <w:rPr>
          <w:sz w:val="22"/>
          <w:szCs w:val="22"/>
        </w:rPr>
        <w:t xml:space="preserve">governance and margining </w:t>
      </w:r>
      <w:r w:rsidR="00140767" w:rsidRPr="001E49CE">
        <w:rPr>
          <w:sz w:val="22"/>
          <w:szCs w:val="22"/>
        </w:rPr>
        <w:t xml:space="preserve">practices employed by DCOs today that support financial stability. CME Group </w:t>
      </w:r>
      <w:r w:rsidR="001E49CE">
        <w:rPr>
          <w:sz w:val="22"/>
          <w:szCs w:val="22"/>
        </w:rPr>
        <w:t>supports</w:t>
      </w:r>
      <w:r w:rsidR="00140767" w:rsidRPr="001E49CE">
        <w:rPr>
          <w:sz w:val="22"/>
          <w:szCs w:val="22"/>
        </w:rPr>
        <w:t xml:space="preserve"> the </w:t>
      </w:r>
      <w:r w:rsidR="00E035C0">
        <w:rPr>
          <w:sz w:val="22"/>
          <w:szCs w:val="22"/>
        </w:rPr>
        <w:t xml:space="preserve">consensus </w:t>
      </w:r>
      <w:r w:rsidR="00140767" w:rsidRPr="001E49CE">
        <w:rPr>
          <w:sz w:val="22"/>
          <w:szCs w:val="22"/>
        </w:rPr>
        <w:t xml:space="preserve">recommendations </w:t>
      </w:r>
      <w:r w:rsidR="00E035C0">
        <w:rPr>
          <w:sz w:val="22"/>
          <w:szCs w:val="22"/>
        </w:rPr>
        <w:t xml:space="preserve">of the Subcommittee </w:t>
      </w:r>
      <w:r w:rsidR="00140767" w:rsidRPr="001E49CE">
        <w:rPr>
          <w:sz w:val="22"/>
          <w:szCs w:val="22"/>
        </w:rPr>
        <w:t xml:space="preserve">noted in </w:t>
      </w:r>
      <w:r w:rsidR="0061567B">
        <w:rPr>
          <w:sz w:val="22"/>
          <w:szCs w:val="22"/>
        </w:rPr>
        <w:t>the p</w:t>
      </w:r>
      <w:r w:rsidR="00140767" w:rsidRPr="001E49CE">
        <w:rPr>
          <w:sz w:val="22"/>
          <w:szCs w:val="22"/>
        </w:rPr>
        <w:t>apers</w:t>
      </w:r>
      <w:r w:rsidR="001E49CE">
        <w:rPr>
          <w:sz w:val="22"/>
          <w:szCs w:val="22"/>
        </w:rPr>
        <w:t>.</w:t>
      </w:r>
      <w:r w:rsidR="00140767" w:rsidRPr="001E49CE">
        <w:rPr>
          <w:sz w:val="22"/>
          <w:szCs w:val="22"/>
        </w:rPr>
        <w:t xml:space="preserve"> </w:t>
      </w:r>
      <w:r w:rsidRPr="001E49CE">
        <w:rPr>
          <w:sz w:val="22"/>
          <w:szCs w:val="22"/>
        </w:rPr>
        <w:t xml:space="preserve"> </w:t>
      </w:r>
      <w:r w:rsidR="004D30DE" w:rsidRPr="001E49CE">
        <w:rPr>
          <w:sz w:val="22"/>
          <w:szCs w:val="22"/>
        </w:rPr>
        <w:t xml:space="preserve"> </w:t>
      </w:r>
    </w:p>
    <w:p w14:paraId="599DE2A3" w14:textId="77777777" w:rsidR="00AB23BD" w:rsidRDefault="00AB23BD" w:rsidP="001E49CE">
      <w:pPr>
        <w:rPr>
          <w:sz w:val="22"/>
          <w:szCs w:val="22"/>
        </w:rPr>
      </w:pPr>
    </w:p>
    <w:p w14:paraId="190C7DC1" w14:textId="77777777" w:rsidR="00AB23BD" w:rsidRPr="00462523" w:rsidRDefault="00AB23BD" w:rsidP="001E49CE">
      <w:pPr>
        <w:rPr>
          <w:sz w:val="22"/>
          <w:szCs w:val="22"/>
          <w:u w:val="single"/>
        </w:rPr>
      </w:pPr>
      <w:r w:rsidRPr="00462523">
        <w:rPr>
          <w:i/>
          <w:iCs/>
          <w:sz w:val="22"/>
          <w:szCs w:val="22"/>
          <w:u w:val="single"/>
        </w:rPr>
        <w:t>Recommendations Regarding CCP Margin Methodologies</w:t>
      </w:r>
    </w:p>
    <w:p w14:paraId="217A1770" w14:textId="54502C27" w:rsidR="00B11471" w:rsidRDefault="0061567B" w:rsidP="001E49C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AB23BD">
        <w:rPr>
          <w:sz w:val="22"/>
          <w:szCs w:val="22"/>
        </w:rPr>
        <w:t>he Subcommittee’s</w:t>
      </w:r>
      <w:r w:rsidR="000D0A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agreed upon </w:t>
      </w:r>
      <w:r w:rsidR="00AB23BD">
        <w:rPr>
          <w:sz w:val="22"/>
          <w:szCs w:val="22"/>
        </w:rPr>
        <w:t>recommendations on margin methodologies</w:t>
      </w:r>
      <w:r w:rsidR="000D0AB0">
        <w:rPr>
          <w:sz w:val="22"/>
          <w:szCs w:val="22"/>
        </w:rPr>
        <w:t xml:space="preserve"> highlight practices that support robust margin methodologies</w:t>
      </w:r>
      <w:r w:rsidR="00EA1285">
        <w:rPr>
          <w:sz w:val="22"/>
          <w:szCs w:val="22"/>
        </w:rPr>
        <w:t xml:space="preserve"> that </w:t>
      </w:r>
      <w:r w:rsidR="000D0AB0">
        <w:rPr>
          <w:sz w:val="22"/>
          <w:szCs w:val="22"/>
        </w:rPr>
        <w:t xml:space="preserve">allow a DCO to consider the unique risk profile of the products it clears. </w:t>
      </w:r>
      <w:r w:rsidR="00E31E36">
        <w:rPr>
          <w:sz w:val="22"/>
          <w:szCs w:val="22"/>
        </w:rPr>
        <w:t>CME Group</w:t>
      </w:r>
      <w:r w:rsidR="000D0AB0">
        <w:rPr>
          <w:sz w:val="22"/>
          <w:szCs w:val="22"/>
        </w:rPr>
        <w:t xml:space="preserve"> recognize</w:t>
      </w:r>
      <w:r w:rsidR="00E31E36">
        <w:rPr>
          <w:sz w:val="22"/>
          <w:szCs w:val="22"/>
        </w:rPr>
        <w:t>s</w:t>
      </w:r>
      <w:r w:rsidR="000D0AB0">
        <w:rPr>
          <w:sz w:val="22"/>
          <w:szCs w:val="22"/>
        </w:rPr>
        <w:t xml:space="preserve"> that </w:t>
      </w:r>
      <w:r w:rsidR="00E035C0">
        <w:rPr>
          <w:sz w:val="22"/>
          <w:szCs w:val="22"/>
        </w:rPr>
        <w:t xml:space="preserve">recent </w:t>
      </w:r>
      <w:r w:rsidR="000D0AB0">
        <w:rPr>
          <w:sz w:val="22"/>
          <w:szCs w:val="22"/>
        </w:rPr>
        <w:t>industry conversations on margining have focused on procyclical</w:t>
      </w:r>
      <w:r w:rsidR="00756AB1">
        <w:rPr>
          <w:sz w:val="22"/>
          <w:szCs w:val="22"/>
        </w:rPr>
        <w:t>ity</w:t>
      </w:r>
      <w:r w:rsidR="000D0AB0">
        <w:rPr>
          <w:sz w:val="22"/>
          <w:szCs w:val="22"/>
        </w:rPr>
        <w:t xml:space="preserve"> </w:t>
      </w:r>
      <w:r w:rsidR="00756AB1">
        <w:rPr>
          <w:sz w:val="22"/>
          <w:szCs w:val="22"/>
        </w:rPr>
        <w:t xml:space="preserve">and that certain </w:t>
      </w:r>
      <w:r w:rsidR="00E035C0">
        <w:rPr>
          <w:sz w:val="22"/>
          <w:szCs w:val="22"/>
        </w:rPr>
        <w:t>Subcommittee participants</w:t>
      </w:r>
      <w:r w:rsidR="00756AB1">
        <w:rPr>
          <w:sz w:val="22"/>
          <w:szCs w:val="22"/>
        </w:rPr>
        <w:t xml:space="preserve"> recommended more </w:t>
      </w:r>
      <w:r w:rsidR="0091597E">
        <w:rPr>
          <w:sz w:val="22"/>
          <w:szCs w:val="22"/>
        </w:rPr>
        <w:t xml:space="preserve">prescriptive </w:t>
      </w:r>
      <w:r w:rsidR="00756AB1">
        <w:rPr>
          <w:sz w:val="22"/>
          <w:szCs w:val="22"/>
        </w:rPr>
        <w:t>procyclicality measures</w:t>
      </w:r>
      <w:r w:rsidR="00E31E36">
        <w:rPr>
          <w:sz w:val="22"/>
          <w:szCs w:val="22"/>
        </w:rPr>
        <w:t xml:space="preserve">. While managing procyclicality is a key part of a DCO’s holistic risk management framework, </w:t>
      </w:r>
      <w:r w:rsidR="00E035C0">
        <w:rPr>
          <w:sz w:val="22"/>
          <w:szCs w:val="22"/>
        </w:rPr>
        <w:t>these</w:t>
      </w:r>
      <w:r w:rsidR="00EA1285">
        <w:rPr>
          <w:sz w:val="22"/>
          <w:szCs w:val="22"/>
        </w:rPr>
        <w:t xml:space="preserve"> more prescriptive recommendations are unnecessary</w:t>
      </w:r>
      <w:r w:rsidR="0091597E">
        <w:rPr>
          <w:sz w:val="22"/>
          <w:szCs w:val="22"/>
        </w:rPr>
        <w:t xml:space="preserve"> and risk having unintended consequences</w:t>
      </w:r>
      <w:r w:rsidR="00E31E36">
        <w:rPr>
          <w:sz w:val="22"/>
          <w:szCs w:val="22"/>
        </w:rPr>
        <w:t>.</w:t>
      </w:r>
      <w:r w:rsidR="00756AB1">
        <w:rPr>
          <w:sz w:val="22"/>
          <w:szCs w:val="22"/>
        </w:rPr>
        <w:t xml:space="preserve"> </w:t>
      </w:r>
    </w:p>
    <w:p w14:paraId="6B2D6ABC" w14:textId="77777777" w:rsidR="00B11471" w:rsidRDefault="00B11471" w:rsidP="001E49CE">
      <w:pPr>
        <w:rPr>
          <w:sz w:val="22"/>
          <w:szCs w:val="22"/>
        </w:rPr>
      </w:pPr>
    </w:p>
    <w:p w14:paraId="0F41163B" w14:textId="7292AFE5" w:rsidR="00AB23BD" w:rsidRDefault="00756AB1" w:rsidP="001E49CE">
      <w:pPr>
        <w:rPr>
          <w:sz w:val="22"/>
          <w:szCs w:val="22"/>
        </w:rPr>
      </w:pPr>
      <w:r>
        <w:rPr>
          <w:sz w:val="22"/>
          <w:szCs w:val="22"/>
        </w:rPr>
        <w:t>CME</w:t>
      </w:r>
      <w:r w:rsidR="00EA1285">
        <w:rPr>
          <w:sz w:val="22"/>
          <w:szCs w:val="22"/>
        </w:rPr>
        <w:t>’s</w:t>
      </w:r>
      <w:r>
        <w:rPr>
          <w:sz w:val="22"/>
          <w:szCs w:val="22"/>
        </w:rPr>
        <w:t xml:space="preserve"> anti-procyclicality measures successful</w:t>
      </w:r>
      <w:r w:rsidR="00B66732">
        <w:rPr>
          <w:sz w:val="22"/>
          <w:szCs w:val="22"/>
        </w:rPr>
        <w:t>ly</w:t>
      </w:r>
      <w:r>
        <w:rPr>
          <w:sz w:val="22"/>
          <w:szCs w:val="22"/>
        </w:rPr>
        <w:t xml:space="preserve"> </w:t>
      </w:r>
      <w:r w:rsidR="00C4273B">
        <w:rPr>
          <w:sz w:val="22"/>
          <w:szCs w:val="22"/>
        </w:rPr>
        <w:t>mitigat</w:t>
      </w:r>
      <w:r w:rsidR="00B66732">
        <w:rPr>
          <w:sz w:val="22"/>
          <w:szCs w:val="22"/>
        </w:rPr>
        <w:t>ed</w:t>
      </w:r>
      <w:r w:rsidR="00C4273B">
        <w:rPr>
          <w:sz w:val="22"/>
          <w:szCs w:val="22"/>
        </w:rPr>
        <w:t xml:space="preserve"> the impact of </w:t>
      </w:r>
      <w:r>
        <w:rPr>
          <w:sz w:val="22"/>
          <w:szCs w:val="22"/>
        </w:rPr>
        <w:t xml:space="preserve">the volatility in March and April 2020. </w:t>
      </w:r>
      <w:r w:rsidR="00B66732">
        <w:rPr>
          <w:sz w:val="22"/>
          <w:szCs w:val="22"/>
        </w:rPr>
        <w:t xml:space="preserve">To put the volatility into perspective, the largest net settlement variation paid, which is driven by changes in market price, was $18.1 </w:t>
      </w:r>
      <w:r w:rsidR="00917DF0">
        <w:rPr>
          <w:sz w:val="22"/>
          <w:szCs w:val="22"/>
        </w:rPr>
        <w:t>billion</w:t>
      </w:r>
      <w:r w:rsidR="00B66732">
        <w:rPr>
          <w:sz w:val="22"/>
          <w:szCs w:val="22"/>
        </w:rPr>
        <w:t xml:space="preserve"> </w:t>
      </w:r>
      <w:r w:rsidR="00917DF0">
        <w:rPr>
          <w:sz w:val="22"/>
          <w:szCs w:val="22"/>
        </w:rPr>
        <w:t xml:space="preserve">in aggregate for </w:t>
      </w:r>
      <w:r w:rsidR="00B66732">
        <w:rPr>
          <w:sz w:val="22"/>
          <w:szCs w:val="22"/>
        </w:rPr>
        <w:t>CME’s clearing members. I</w:t>
      </w:r>
      <w:r w:rsidR="00B92AC8">
        <w:rPr>
          <w:sz w:val="22"/>
          <w:szCs w:val="22"/>
        </w:rPr>
        <w:t xml:space="preserve">f customer initial margin was collected on a net basis for futures and options, the </w:t>
      </w:r>
      <w:r w:rsidR="00B11471">
        <w:rPr>
          <w:sz w:val="22"/>
          <w:szCs w:val="22"/>
        </w:rPr>
        <w:t xml:space="preserve">largest </w:t>
      </w:r>
      <w:r w:rsidR="003206CA">
        <w:rPr>
          <w:sz w:val="22"/>
          <w:szCs w:val="22"/>
        </w:rPr>
        <w:t>one</w:t>
      </w:r>
      <w:r w:rsidR="00793038">
        <w:rPr>
          <w:sz w:val="22"/>
          <w:szCs w:val="22"/>
        </w:rPr>
        <w:t xml:space="preserve">-day change in </w:t>
      </w:r>
      <w:r w:rsidR="00AD469D">
        <w:rPr>
          <w:sz w:val="22"/>
          <w:szCs w:val="22"/>
        </w:rPr>
        <w:t>total</w:t>
      </w:r>
      <w:r w:rsidR="00B11471">
        <w:rPr>
          <w:sz w:val="22"/>
          <w:szCs w:val="22"/>
        </w:rPr>
        <w:t xml:space="preserve"> </w:t>
      </w:r>
      <w:r w:rsidR="00B92AC8">
        <w:rPr>
          <w:sz w:val="22"/>
          <w:szCs w:val="22"/>
        </w:rPr>
        <w:t xml:space="preserve">initial margin </w:t>
      </w:r>
      <w:r w:rsidR="006E1118">
        <w:rPr>
          <w:sz w:val="22"/>
          <w:szCs w:val="22"/>
        </w:rPr>
        <w:t xml:space="preserve">required </w:t>
      </w:r>
      <w:r w:rsidR="00B11471">
        <w:rPr>
          <w:sz w:val="22"/>
          <w:szCs w:val="22"/>
        </w:rPr>
        <w:t xml:space="preserve">at CME </w:t>
      </w:r>
      <w:r w:rsidR="00B92AC8">
        <w:rPr>
          <w:sz w:val="22"/>
          <w:szCs w:val="22"/>
        </w:rPr>
        <w:t>would have been $5.8 billion</w:t>
      </w:r>
      <w:r w:rsidR="00793038">
        <w:rPr>
          <w:sz w:val="22"/>
          <w:szCs w:val="22"/>
        </w:rPr>
        <w:t>.</w:t>
      </w:r>
      <w:r w:rsidR="00B92AC8">
        <w:rPr>
          <w:rStyle w:val="FootnoteReference"/>
          <w:sz w:val="22"/>
          <w:szCs w:val="22"/>
        </w:rPr>
        <w:footnoteReference w:id="2"/>
      </w:r>
      <w:r w:rsidR="00B92AC8">
        <w:rPr>
          <w:sz w:val="22"/>
          <w:szCs w:val="22"/>
        </w:rPr>
        <w:t xml:space="preserve"> </w:t>
      </w:r>
      <w:r w:rsidR="00B66732">
        <w:rPr>
          <w:sz w:val="22"/>
          <w:szCs w:val="22"/>
        </w:rPr>
        <w:t>T</w:t>
      </w:r>
      <w:r w:rsidR="00C4273B">
        <w:rPr>
          <w:sz w:val="22"/>
          <w:szCs w:val="22"/>
        </w:rPr>
        <w:t xml:space="preserve">he fact that the </w:t>
      </w:r>
      <w:r w:rsidR="006E1118">
        <w:rPr>
          <w:sz w:val="22"/>
          <w:szCs w:val="22"/>
        </w:rPr>
        <w:t xml:space="preserve">theoretical </w:t>
      </w:r>
      <w:r w:rsidR="00C4273B">
        <w:rPr>
          <w:sz w:val="22"/>
          <w:szCs w:val="22"/>
        </w:rPr>
        <w:t xml:space="preserve">adjusted initial margin </w:t>
      </w:r>
      <w:r w:rsidR="00793038">
        <w:rPr>
          <w:sz w:val="22"/>
          <w:szCs w:val="22"/>
        </w:rPr>
        <w:t>change</w:t>
      </w:r>
      <w:r w:rsidR="00C4273B">
        <w:rPr>
          <w:rStyle w:val="FootnoteReference"/>
          <w:sz w:val="22"/>
          <w:szCs w:val="22"/>
        </w:rPr>
        <w:footnoteReference w:id="3"/>
      </w:r>
      <w:r w:rsidR="0091597E">
        <w:rPr>
          <w:sz w:val="22"/>
          <w:szCs w:val="22"/>
        </w:rPr>
        <w:t xml:space="preserve"> </w:t>
      </w:r>
      <w:r w:rsidR="00C4273B">
        <w:rPr>
          <w:sz w:val="22"/>
          <w:szCs w:val="22"/>
        </w:rPr>
        <w:t xml:space="preserve">was less than </w:t>
      </w:r>
      <w:r w:rsidR="00793038">
        <w:rPr>
          <w:sz w:val="22"/>
          <w:szCs w:val="22"/>
        </w:rPr>
        <w:t xml:space="preserve">one-third of </w:t>
      </w:r>
      <w:r w:rsidR="00C4273B">
        <w:rPr>
          <w:sz w:val="22"/>
          <w:szCs w:val="22"/>
        </w:rPr>
        <w:t>the size of the settlement variation</w:t>
      </w:r>
      <w:r w:rsidR="00793038">
        <w:rPr>
          <w:sz w:val="22"/>
          <w:szCs w:val="22"/>
        </w:rPr>
        <w:t xml:space="preserve"> paid</w:t>
      </w:r>
      <w:r w:rsidR="00C4273B">
        <w:rPr>
          <w:sz w:val="22"/>
          <w:szCs w:val="22"/>
        </w:rPr>
        <w:t xml:space="preserve"> shows that CME</w:t>
      </w:r>
      <w:r w:rsidR="00793038">
        <w:rPr>
          <w:sz w:val="22"/>
          <w:szCs w:val="22"/>
        </w:rPr>
        <w:t>’</w:t>
      </w:r>
      <w:r w:rsidR="00C4273B">
        <w:rPr>
          <w:sz w:val="22"/>
          <w:szCs w:val="22"/>
        </w:rPr>
        <w:t>s anti</w:t>
      </w:r>
      <w:r w:rsidR="00793038">
        <w:rPr>
          <w:sz w:val="22"/>
          <w:szCs w:val="22"/>
        </w:rPr>
        <w:t>-</w:t>
      </w:r>
      <w:r w:rsidR="00C4273B">
        <w:rPr>
          <w:sz w:val="22"/>
          <w:szCs w:val="22"/>
        </w:rPr>
        <w:t>procyclical</w:t>
      </w:r>
      <w:r w:rsidR="008644CF">
        <w:rPr>
          <w:sz w:val="22"/>
          <w:szCs w:val="22"/>
        </w:rPr>
        <w:t>ity</w:t>
      </w:r>
      <w:r w:rsidR="00C4273B">
        <w:rPr>
          <w:sz w:val="22"/>
          <w:szCs w:val="22"/>
        </w:rPr>
        <w:t xml:space="preserve"> </w:t>
      </w:r>
      <w:r w:rsidR="006E1118">
        <w:rPr>
          <w:sz w:val="22"/>
          <w:szCs w:val="22"/>
        </w:rPr>
        <w:t>measures</w:t>
      </w:r>
      <w:r w:rsidR="00C4273B">
        <w:rPr>
          <w:sz w:val="22"/>
          <w:szCs w:val="22"/>
        </w:rPr>
        <w:t xml:space="preserve"> </w:t>
      </w:r>
      <w:r w:rsidR="006E1118">
        <w:rPr>
          <w:sz w:val="22"/>
          <w:szCs w:val="22"/>
        </w:rPr>
        <w:t>appropriately</w:t>
      </w:r>
      <w:r w:rsidR="00C4273B">
        <w:rPr>
          <w:sz w:val="22"/>
          <w:szCs w:val="22"/>
        </w:rPr>
        <w:t xml:space="preserve"> dampened the impact of the volatility on </w:t>
      </w:r>
      <w:r w:rsidR="00743D36">
        <w:rPr>
          <w:sz w:val="22"/>
          <w:szCs w:val="22"/>
        </w:rPr>
        <w:t xml:space="preserve">market </w:t>
      </w:r>
      <w:r w:rsidR="006E1118">
        <w:rPr>
          <w:sz w:val="22"/>
          <w:szCs w:val="22"/>
        </w:rPr>
        <w:t>participants’</w:t>
      </w:r>
      <w:r w:rsidR="00C4273B">
        <w:rPr>
          <w:sz w:val="22"/>
          <w:szCs w:val="22"/>
        </w:rPr>
        <w:t xml:space="preserve"> initial margin obligations.</w:t>
      </w:r>
      <w:r w:rsidR="00B66732">
        <w:rPr>
          <w:sz w:val="22"/>
          <w:szCs w:val="22"/>
        </w:rPr>
        <w:t xml:space="preserve"> Notwithstanding this, the largest </w:t>
      </w:r>
      <w:r w:rsidR="00743D36">
        <w:rPr>
          <w:sz w:val="22"/>
          <w:szCs w:val="22"/>
        </w:rPr>
        <w:t xml:space="preserve">actual </w:t>
      </w:r>
      <w:r w:rsidR="00B66732">
        <w:rPr>
          <w:sz w:val="22"/>
          <w:szCs w:val="22"/>
        </w:rPr>
        <w:t>one-day percentage change in total initial margin required at CME was 6.5%</w:t>
      </w:r>
      <w:r w:rsidR="008644CF">
        <w:rPr>
          <w:sz w:val="22"/>
          <w:szCs w:val="22"/>
        </w:rPr>
        <w:t>, which</w:t>
      </w:r>
      <w:r w:rsidR="00E035C0">
        <w:rPr>
          <w:sz w:val="22"/>
          <w:szCs w:val="22"/>
        </w:rPr>
        <w:t xml:space="preserve"> was also quite small relative to the volatility observed</w:t>
      </w:r>
      <w:r w:rsidR="00B66732">
        <w:rPr>
          <w:sz w:val="22"/>
          <w:szCs w:val="22"/>
        </w:rPr>
        <w:t xml:space="preserve">. </w:t>
      </w:r>
      <w:r w:rsidR="00EA1285">
        <w:rPr>
          <w:sz w:val="22"/>
          <w:szCs w:val="22"/>
        </w:rPr>
        <w:t xml:space="preserve"> </w:t>
      </w:r>
    </w:p>
    <w:p w14:paraId="4EFE82FD" w14:textId="77777777" w:rsidR="00AB23BD" w:rsidRDefault="00AB23BD" w:rsidP="001E49CE">
      <w:pPr>
        <w:rPr>
          <w:sz w:val="22"/>
          <w:szCs w:val="22"/>
        </w:rPr>
      </w:pPr>
    </w:p>
    <w:p w14:paraId="14F40E89" w14:textId="77777777" w:rsidR="00AB23BD" w:rsidRPr="00462523" w:rsidRDefault="00AB23BD" w:rsidP="001E49CE">
      <w:pPr>
        <w:rPr>
          <w:sz w:val="22"/>
          <w:szCs w:val="22"/>
          <w:u w:val="single"/>
        </w:rPr>
      </w:pPr>
      <w:r w:rsidRPr="00462523">
        <w:rPr>
          <w:i/>
          <w:iCs/>
          <w:sz w:val="22"/>
          <w:szCs w:val="22"/>
          <w:u w:val="single"/>
        </w:rPr>
        <w:t>Recommendations on CCP Governance</w:t>
      </w:r>
    </w:p>
    <w:p w14:paraId="71DE6373" w14:textId="30F7871F" w:rsidR="001E49CE" w:rsidRPr="00C47D3F" w:rsidRDefault="0061567B" w:rsidP="00523EC0">
      <w:pPr>
        <w:spacing w:line="280" w:lineRule="exact"/>
        <w:rPr>
          <w:sz w:val="20"/>
          <w:szCs w:val="20"/>
        </w:rPr>
      </w:pPr>
      <w:r>
        <w:rPr>
          <w:sz w:val="22"/>
          <w:szCs w:val="22"/>
        </w:rPr>
        <w:t>T</w:t>
      </w:r>
      <w:r w:rsidR="00462523">
        <w:rPr>
          <w:sz w:val="22"/>
          <w:szCs w:val="22"/>
        </w:rPr>
        <w:t>he Subcommittee’s agreed upon recommendations on governance</w:t>
      </w:r>
      <w:r w:rsidR="00462523" w:rsidRPr="00462523">
        <w:rPr>
          <w:sz w:val="22"/>
          <w:szCs w:val="22"/>
        </w:rPr>
        <w:t xml:space="preserve"> </w:t>
      </w:r>
      <w:r w:rsidR="00462523">
        <w:rPr>
          <w:sz w:val="22"/>
          <w:szCs w:val="22"/>
        </w:rPr>
        <w:t>a</w:t>
      </w:r>
      <w:r w:rsidR="00462523" w:rsidRPr="00462523">
        <w:rPr>
          <w:sz w:val="22"/>
          <w:szCs w:val="22"/>
        </w:rPr>
        <w:t xml:space="preserve">llow </w:t>
      </w:r>
      <w:r w:rsidR="00756AB1">
        <w:rPr>
          <w:sz w:val="22"/>
          <w:szCs w:val="22"/>
        </w:rPr>
        <w:t xml:space="preserve">a </w:t>
      </w:r>
      <w:r w:rsidR="00462523" w:rsidRPr="00462523">
        <w:rPr>
          <w:sz w:val="22"/>
          <w:szCs w:val="22"/>
        </w:rPr>
        <w:t xml:space="preserve">DCO to continue to prioritize </w:t>
      </w:r>
      <w:r w:rsidR="00462523">
        <w:rPr>
          <w:sz w:val="22"/>
          <w:szCs w:val="22"/>
        </w:rPr>
        <w:t xml:space="preserve">supporting the </w:t>
      </w:r>
      <w:r w:rsidR="00462523" w:rsidRPr="00462523">
        <w:rPr>
          <w:sz w:val="22"/>
          <w:szCs w:val="22"/>
        </w:rPr>
        <w:t>stability</w:t>
      </w:r>
      <w:r w:rsidR="00462523">
        <w:rPr>
          <w:sz w:val="22"/>
          <w:szCs w:val="22"/>
        </w:rPr>
        <w:t xml:space="preserve"> of the broader financial system, while recognizing the benefits of obtain</w:t>
      </w:r>
      <w:r w:rsidR="00B66732">
        <w:rPr>
          <w:sz w:val="22"/>
          <w:szCs w:val="22"/>
        </w:rPr>
        <w:t>ing</w:t>
      </w:r>
      <w:r w:rsidR="00462523">
        <w:rPr>
          <w:sz w:val="22"/>
          <w:szCs w:val="22"/>
        </w:rPr>
        <w:t xml:space="preserve"> </w:t>
      </w:r>
      <w:r w:rsidR="00756AB1">
        <w:rPr>
          <w:sz w:val="22"/>
          <w:szCs w:val="22"/>
        </w:rPr>
        <w:t xml:space="preserve">market participants’ </w:t>
      </w:r>
      <w:r w:rsidR="00462523">
        <w:rPr>
          <w:sz w:val="22"/>
          <w:szCs w:val="22"/>
        </w:rPr>
        <w:t>risk-based views on matters that materially affect</w:t>
      </w:r>
      <w:r w:rsidR="00756AB1">
        <w:rPr>
          <w:sz w:val="22"/>
          <w:szCs w:val="22"/>
        </w:rPr>
        <w:t xml:space="preserve"> its</w:t>
      </w:r>
      <w:r w:rsidR="00462523">
        <w:rPr>
          <w:sz w:val="22"/>
          <w:szCs w:val="22"/>
        </w:rPr>
        <w:t xml:space="preserve"> risk profile. </w:t>
      </w:r>
    </w:p>
    <w:sectPr w:rsidR="001E49CE" w:rsidRPr="00C47D3F" w:rsidSect="0061567B">
      <w:headerReference w:type="first" r:id="rId8"/>
      <w:pgSz w:w="12240" w:h="15840"/>
      <w:pgMar w:top="1440" w:right="1440" w:bottom="1440" w:left="1440" w:header="1440" w:footer="8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B1213" w14:textId="77777777" w:rsidR="00E678E0" w:rsidRDefault="00E678E0" w:rsidP="00680A72">
      <w:r>
        <w:separator/>
      </w:r>
    </w:p>
  </w:endnote>
  <w:endnote w:type="continuationSeparator" w:id="0">
    <w:p w14:paraId="4F3B7715" w14:textId="77777777" w:rsidR="00E678E0" w:rsidRDefault="00E678E0" w:rsidP="0068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024C" w14:textId="77777777" w:rsidR="00E678E0" w:rsidRDefault="00E678E0" w:rsidP="00680A72">
      <w:r>
        <w:separator/>
      </w:r>
    </w:p>
  </w:footnote>
  <w:footnote w:type="continuationSeparator" w:id="0">
    <w:p w14:paraId="45D9F74F" w14:textId="77777777" w:rsidR="00E678E0" w:rsidRDefault="00E678E0" w:rsidP="00680A72">
      <w:r>
        <w:continuationSeparator/>
      </w:r>
    </w:p>
  </w:footnote>
  <w:footnote w:id="1">
    <w:p w14:paraId="6EAB1AF2" w14:textId="7ECEA8BE" w:rsidR="00462523" w:rsidRPr="00077126" w:rsidRDefault="00462523">
      <w:pPr>
        <w:pStyle w:val="FootnoteText"/>
        <w:rPr>
          <w:sz w:val="16"/>
          <w:szCs w:val="16"/>
          <w:lang w:val="en-GB"/>
        </w:rPr>
      </w:pPr>
      <w:r w:rsidRPr="00077126">
        <w:rPr>
          <w:rStyle w:val="FootnoteReference"/>
          <w:sz w:val="16"/>
          <w:szCs w:val="16"/>
        </w:rPr>
        <w:footnoteRef/>
      </w:r>
      <w:r w:rsidRPr="00077126">
        <w:rPr>
          <w:sz w:val="16"/>
          <w:szCs w:val="16"/>
        </w:rPr>
        <w:t xml:space="preserve"> </w:t>
      </w:r>
      <w:r w:rsidRPr="00077126">
        <w:rPr>
          <w:sz w:val="16"/>
          <w:szCs w:val="16"/>
          <w:lang w:val="en-GB"/>
        </w:rPr>
        <w:t>Chicago Mercantile Exchange Inc. (“CME”)</w:t>
      </w:r>
      <w:r w:rsidR="00AD469D" w:rsidRPr="00077126">
        <w:rPr>
          <w:sz w:val="16"/>
          <w:szCs w:val="16"/>
          <w:lang w:val="en-GB"/>
        </w:rPr>
        <w:t xml:space="preserve"> is a </w:t>
      </w:r>
      <w:proofErr w:type="gramStart"/>
      <w:r w:rsidR="00AD469D" w:rsidRPr="00077126">
        <w:rPr>
          <w:sz w:val="16"/>
          <w:szCs w:val="16"/>
          <w:lang w:val="en-GB"/>
        </w:rPr>
        <w:t xml:space="preserve">registered </w:t>
      </w:r>
      <w:r w:rsidRPr="00077126">
        <w:rPr>
          <w:sz w:val="16"/>
          <w:szCs w:val="16"/>
          <w:lang w:val="en-GB"/>
        </w:rPr>
        <w:t>derivatives</w:t>
      </w:r>
      <w:proofErr w:type="gramEnd"/>
      <w:r w:rsidRPr="00077126">
        <w:rPr>
          <w:sz w:val="16"/>
          <w:szCs w:val="16"/>
          <w:lang w:val="en-GB"/>
        </w:rPr>
        <w:t xml:space="preserve"> clearing organization (“DCO”). </w:t>
      </w:r>
    </w:p>
  </w:footnote>
  <w:footnote w:id="2">
    <w:p w14:paraId="0EDF60D9" w14:textId="189D7FE5" w:rsidR="00B92AC8" w:rsidRPr="00077126" w:rsidRDefault="00B92AC8" w:rsidP="00B92AC8">
      <w:pPr>
        <w:pStyle w:val="FootnoteText"/>
        <w:rPr>
          <w:sz w:val="16"/>
          <w:szCs w:val="16"/>
          <w:lang w:val="en-GB"/>
        </w:rPr>
      </w:pPr>
      <w:r w:rsidRPr="00077126">
        <w:rPr>
          <w:rStyle w:val="FootnoteReference"/>
          <w:sz w:val="16"/>
          <w:szCs w:val="16"/>
        </w:rPr>
        <w:footnoteRef/>
      </w:r>
      <w:r w:rsidRPr="00077126">
        <w:rPr>
          <w:sz w:val="16"/>
          <w:szCs w:val="16"/>
        </w:rPr>
        <w:t xml:space="preserve"> </w:t>
      </w:r>
      <w:r w:rsidR="00793038" w:rsidRPr="00077126">
        <w:rPr>
          <w:sz w:val="16"/>
          <w:szCs w:val="16"/>
          <w:lang w:val="en-GB"/>
        </w:rPr>
        <w:t>T</w:t>
      </w:r>
      <w:r w:rsidR="00C4273B" w:rsidRPr="00077126">
        <w:rPr>
          <w:sz w:val="16"/>
          <w:szCs w:val="16"/>
          <w:lang w:val="en-GB"/>
        </w:rPr>
        <w:t xml:space="preserve">his figure </w:t>
      </w:r>
      <w:r w:rsidR="00124FA7" w:rsidRPr="00077126">
        <w:rPr>
          <w:sz w:val="16"/>
          <w:szCs w:val="16"/>
          <w:lang w:val="en-GB"/>
        </w:rPr>
        <w:t>would be further reduced if the initial margin for cleared swaps was similarly adjusted</w:t>
      </w:r>
      <w:r w:rsidRPr="00077126">
        <w:rPr>
          <w:sz w:val="16"/>
          <w:szCs w:val="16"/>
          <w:lang w:val="en-GB"/>
        </w:rPr>
        <w:t xml:space="preserve">. </w:t>
      </w:r>
    </w:p>
  </w:footnote>
  <w:footnote w:id="3">
    <w:p w14:paraId="7BA471F9" w14:textId="29BFF695" w:rsidR="00C4273B" w:rsidRDefault="00C4273B">
      <w:pPr>
        <w:pStyle w:val="FootnoteText"/>
      </w:pPr>
      <w:r w:rsidRPr="00077126">
        <w:rPr>
          <w:rStyle w:val="FootnoteReference"/>
          <w:sz w:val="16"/>
          <w:szCs w:val="16"/>
        </w:rPr>
        <w:footnoteRef/>
      </w:r>
      <w:r w:rsidRPr="00077126">
        <w:rPr>
          <w:sz w:val="16"/>
          <w:szCs w:val="16"/>
        </w:rPr>
        <w:t xml:space="preserve"> Settlement variation is exchanged on a net basis</w:t>
      </w:r>
      <w:r w:rsidR="00793038" w:rsidRPr="00077126">
        <w:rPr>
          <w:sz w:val="16"/>
          <w:szCs w:val="16"/>
        </w:rPr>
        <w:t>,</w:t>
      </w:r>
      <w:r w:rsidRPr="00077126">
        <w:rPr>
          <w:sz w:val="16"/>
          <w:szCs w:val="16"/>
        </w:rPr>
        <w:t xml:space="preserve"> whereas </w:t>
      </w:r>
      <w:r w:rsidR="003206CA" w:rsidRPr="00077126">
        <w:rPr>
          <w:sz w:val="16"/>
          <w:szCs w:val="16"/>
        </w:rPr>
        <w:t xml:space="preserve">DCOs collect </w:t>
      </w:r>
      <w:r w:rsidRPr="00077126">
        <w:rPr>
          <w:sz w:val="16"/>
          <w:szCs w:val="16"/>
        </w:rPr>
        <w:t xml:space="preserve">customer initial margin </w:t>
      </w:r>
      <w:r w:rsidR="00793038" w:rsidRPr="00077126">
        <w:rPr>
          <w:sz w:val="16"/>
          <w:szCs w:val="16"/>
        </w:rPr>
        <w:t>on a</w:t>
      </w:r>
      <w:r w:rsidRPr="00077126">
        <w:rPr>
          <w:sz w:val="16"/>
          <w:szCs w:val="16"/>
        </w:rPr>
        <w:t xml:space="preserve"> gross</w:t>
      </w:r>
      <w:r w:rsidR="00793038" w:rsidRPr="00077126">
        <w:rPr>
          <w:sz w:val="16"/>
          <w:szCs w:val="16"/>
        </w:rPr>
        <w:t xml:space="preserve"> basis</w:t>
      </w:r>
      <w:r w:rsidRPr="00077126">
        <w:rPr>
          <w:sz w:val="16"/>
          <w:szCs w:val="16"/>
        </w:rPr>
        <w:t xml:space="preserve">. Adjusting the initial margin to reflect a net collection for futures and options provides a better, though still overly conservative, comparison </w:t>
      </w:r>
      <w:r w:rsidR="003206CA" w:rsidRPr="00077126">
        <w:rPr>
          <w:sz w:val="16"/>
          <w:szCs w:val="16"/>
        </w:rPr>
        <w:t>of</w:t>
      </w:r>
      <w:r w:rsidRPr="00077126">
        <w:rPr>
          <w:sz w:val="16"/>
          <w:szCs w:val="16"/>
        </w:rPr>
        <w:t xml:space="preserve"> settlement variation and initial margin</w:t>
      </w:r>
      <w:r w:rsidR="003206CA" w:rsidRPr="00077126">
        <w:rPr>
          <w:sz w:val="16"/>
          <w:szCs w:val="16"/>
        </w:rPr>
        <w:t xml:space="preserve"> changes</w:t>
      </w:r>
      <w:r w:rsidRPr="00077126">
        <w:rPr>
          <w:sz w:val="16"/>
          <w:szCs w:val="16"/>
        </w:rPr>
        <w:t>. However, even without th</w:t>
      </w:r>
      <w:r w:rsidR="003206CA" w:rsidRPr="00077126">
        <w:rPr>
          <w:sz w:val="16"/>
          <w:szCs w:val="16"/>
        </w:rPr>
        <w:t>is</w:t>
      </w:r>
      <w:r w:rsidRPr="00077126">
        <w:rPr>
          <w:sz w:val="16"/>
          <w:szCs w:val="16"/>
        </w:rPr>
        <w:t xml:space="preserve"> adjustment</w:t>
      </w:r>
      <w:r w:rsidR="003206CA" w:rsidRPr="00077126">
        <w:rPr>
          <w:sz w:val="16"/>
          <w:szCs w:val="16"/>
        </w:rPr>
        <w:t>, during March and April 2020,</w:t>
      </w:r>
      <w:r w:rsidRPr="00077126">
        <w:rPr>
          <w:sz w:val="16"/>
          <w:szCs w:val="16"/>
        </w:rPr>
        <w:t xml:space="preserve"> CME’s </w:t>
      </w:r>
      <w:r w:rsidR="003206CA" w:rsidRPr="00077126">
        <w:rPr>
          <w:sz w:val="16"/>
          <w:szCs w:val="16"/>
        </w:rPr>
        <w:t xml:space="preserve">actual </w:t>
      </w:r>
      <w:r w:rsidRPr="00077126">
        <w:rPr>
          <w:sz w:val="16"/>
          <w:szCs w:val="16"/>
        </w:rPr>
        <w:t xml:space="preserve">largest </w:t>
      </w:r>
      <w:r w:rsidR="003206CA" w:rsidRPr="00077126">
        <w:rPr>
          <w:sz w:val="16"/>
          <w:szCs w:val="16"/>
        </w:rPr>
        <w:t>one-day change</w:t>
      </w:r>
      <w:r w:rsidRPr="00077126">
        <w:rPr>
          <w:sz w:val="16"/>
          <w:szCs w:val="16"/>
        </w:rPr>
        <w:t xml:space="preserve"> </w:t>
      </w:r>
      <w:r w:rsidR="003206CA" w:rsidRPr="00077126">
        <w:rPr>
          <w:sz w:val="16"/>
          <w:szCs w:val="16"/>
        </w:rPr>
        <w:t xml:space="preserve">in initial margin required </w:t>
      </w:r>
      <w:r w:rsidRPr="00077126">
        <w:rPr>
          <w:sz w:val="16"/>
          <w:szCs w:val="16"/>
        </w:rPr>
        <w:t xml:space="preserve">was </w:t>
      </w:r>
      <w:r w:rsidR="003206CA" w:rsidRPr="00077126">
        <w:rPr>
          <w:sz w:val="16"/>
          <w:szCs w:val="16"/>
        </w:rPr>
        <w:t xml:space="preserve">$10.3 billion, </w:t>
      </w:r>
      <w:r w:rsidRPr="00077126">
        <w:rPr>
          <w:sz w:val="16"/>
          <w:szCs w:val="16"/>
        </w:rPr>
        <w:t xml:space="preserve">significantly less than the largest settlement variation </w:t>
      </w:r>
      <w:r w:rsidR="003206CA" w:rsidRPr="00077126">
        <w:rPr>
          <w:sz w:val="16"/>
          <w:szCs w:val="16"/>
        </w:rPr>
        <w:t>paid</w:t>
      </w:r>
      <w:r w:rsidRPr="0007712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A721" w14:textId="26C6D263" w:rsidR="000E12DA" w:rsidRPr="00523EC0" w:rsidRDefault="001B281B" w:rsidP="00523EC0">
    <w:pPr>
      <w:pStyle w:val="Memorandumtitle"/>
      <w:rPr>
        <w:b/>
        <w:bCs/>
        <w:sz w:val="22"/>
        <w:szCs w:val="22"/>
      </w:rPr>
    </w:pPr>
    <w:r w:rsidRPr="00523EC0">
      <w:rPr>
        <w:b/>
        <w:bCs/>
        <w:noProof/>
        <w:color w:val="auto"/>
        <w:sz w:val="22"/>
        <w:szCs w:val="22"/>
      </w:rPr>
      <w:drawing>
        <wp:anchor distT="0" distB="0" distL="114300" distR="114300" simplePos="0" relativeHeight="251658239" behindDoc="1" locked="1" layoutInCell="1" allowOverlap="1" wp14:anchorId="6589B91D" wp14:editId="6F8F7C94">
          <wp:simplePos x="0" y="0"/>
          <wp:positionH relativeFrom="page">
            <wp:posOffset>366395</wp:posOffset>
          </wp:positionH>
          <wp:positionV relativeFrom="page">
            <wp:posOffset>222250</wp:posOffset>
          </wp:positionV>
          <wp:extent cx="2340610" cy="850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EGroup_2c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EC0" w:rsidRPr="00523EC0">
      <w:rPr>
        <w:b/>
        <w:bCs/>
        <w:color w:val="auto"/>
        <w:sz w:val="22"/>
        <w:szCs w:val="22"/>
      </w:rPr>
      <w:t xml:space="preserve">March </w:t>
    </w:r>
    <w:r w:rsidR="00747FCC" w:rsidRPr="00747FCC">
      <w:rPr>
        <w:b/>
        <w:bCs/>
        <w:color w:val="auto"/>
        <w:sz w:val="22"/>
        <w:szCs w:val="22"/>
      </w:rPr>
      <w:t>1</w:t>
    </w:r>
    <w:r w:rsidR="00523EC0" w:rsidRPr="00523EC0">
      <w:rPr>
        <w:b/>
        <w:bCs/>
        <w:color w:val="auto"/>
        <w:sz w:val="22"/>
        <w:szCs w:val="22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3C50"/>
    <w:multiLevelType w:val="hybridMultilevel"/>
    <w:tmpl w:val="CC600D04"/>
    <w:lvl w:ilvl="0" w:tplc="A958054C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2B8"/>
    <w:multiLevelType w:val="hybridMultilevel"/>
    <w:tmpl w:val="6F5C75A4"/>
    <w:lvl w:ilvl="0" w:tplc="8624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32F"/>
    <w:multiLevelType w:val="hybridMultilevel"/>
    <w:tmpl w:val="9D16FBAC"/>
    <w:lvl w:ilvl="0" w:tplc="B0B8FE0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C0"/>
    <w:rsid w:val="00043FB4"/>
    <w:rsid w:val="00077126"/>
    <w:rsid w:val="000B31B5"/>
    <w:rsid w:val="000D0AB0"/>
    <w:rsid w:val="000E12DA"/>
    <w:rsid w:val="000E273E"/>
    <w:rsid w:val="00124FA7"/>
    <w:rsid w:val="00140767"/>
    <w:rsid w:val="00141388"/>
    <w:rsid w:val="0016610F"/>
    <w:rsid w:val="001B281B"/>
    <w:rsid w:val="001E49CE"/>
    <w:rsid w:val="00205EBC"/>
    <w:rsid w:val="003206CA"/>
    <w:rsid w:val="003303F3"/>
    <w:rsid w:val="0033415D"/>
    <w:rsid w:val="003D6EAC"/>
    <w:rsid w:val="003D70CF"/>
    <w:rsid w:val="004337B2"/>
    <w:rsid w:val="004544A5"/>
    <w:rsid w:val="00455185"/>
    <w:rsid w:val="00460225"/>
    <w:rsid w:val="00462523"/>
    <w:rsid w:val="004B6E32"/>
    <w:rsid w:val="004D30DE"/>
    <w:rsid w:val="004E7F5E"/>
    <w:rsid w:val="00523EC0"/>
    <w:rsid w:val="00561502"/>
    <w:rsid w:val="0061567B"/>
    <w:rsid w:val="0064424C"/>
    <w:rsid w:val="00645738"/>
    <w:rsid w:val="00680A72"/>
    <w:rsid w:val="006A3AC8"/>
    <w:rsid w:val="006D1BCD"/>
    <w:rsid w:val="006E1118"/>
    <w:rsid w:val="00711663"/>
    <w:rsid w:val="0071436C"/>
    <w:rsid w:val="00731C1D"/>
    <w:rsid w:val="00734319"/>
    <w:rsid w:val="00743D36"/>
    <w:rsid w:val="00747FCC"/>
    <w:rsid w:val="00756AB1"/>
    <w:rsid w:val="007901B5"/>
    <w:rsid w:val="00793038"/>
    <w:rsid w:val="007C4E45"/>
    <w:rsid w:val="007D730F"/>
    <w:rsid w:val="00856203"/>
    <w:rsid w:val="008639AC"/>
    <w:rsid w:val="008644CF"/>
    <w:rsid w:val="008761DC"/>
    <w:rsid w:val="0088376B"/>
    <w:rsid w:val="0088495F"/>
    <w:rsid w:val="009141DF"/>
    <w:rsid w:val="0091597E"/>
    <w:rsid w:val="00917073"/>
    <w:rsid w:val="00917DF0"/>
    <w:rsid w:val="0095373B"/>
    <w:rsid w:val="00981DEC"/>
    <w:rsid w:val="00A126F1"/>
    <w:rsid w:val="00A32AAE"/>
    <w:rsid w:val="00A6403D"/>
    <w:rsid w:val="00A64306"/>
    <w:rsid w:val="00A972FC"/>
    <w:rsid w:val="00AB23BD"/>
    <w:rsid w:val="00AD469D"/>
    <w:rsid w:val="00B075A9"/>
    <w:rsid w:val="00B11471"/>
    <w:rsid w:val="00B55515"/>
    <w:rsid w:val="00B66732"/>
    <w:rsid w:val="00B92AC8"/>
    <w:rsid w:val="00C4273B"/>
    <w:rsid w:val="00C47D3F"/>
    <w:rsid w:val="00C5719B"/>
    <w:rsid w:val="00CC573E"/>
    <w:rsid w:val="00CF21E2"/>
    <w:rsid w:val="00D11AFF"/>
    <w:rsid w:val="00D154EB"/>
    <w:rsid w:val="00D718E2"/>
    <w:rsid w:val="00D71985"/>
    <w:rsid w:val="00E035C0"/>
    <w:rsid w:val="00E12C66"/>
    <w:rsid w:val="00E31E36"/>
    <w:rsid w:val="00E678E0"/>
    <w:rsid w:val="00E73399"/>
    <w:rsid w:val="00EA1285"/>
    <w:rsid w:val="00EF5EF9"/>
    <w:rsid w:val="00F20403"/>
    <w:rsid w:val="00F466CF"/>
    <w:rsid w:val="00F66858"/>
    <w:rsid w:val="00FD2EAD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6B343"/>
  <w15:chartTrackingRefBased/>
  <w15:docId w15:val="{2222DEC4-89D1-417B-84CE-5E553184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9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1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aliases w:val="Arial 10pt black"/>
    <w:basedOn w:val="Normal"/>
    <w:qFormat/>
    <w:rsid w:val="00C47D3F"/>
    <w:pPr>
      <w:numPr>
        <w:numId w:val="3"/>
      </w:numPr>
      <w:spacing w:line="280" w:lineRule="exact"/>
    </w:pPr>
    <w:rPr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985"/>
    <w:rPr>
      <w:rFonts w:asciiTheme="majorHAnsi" w:eastAsiaTheme="majorEastAsia" w:hAnsiTheme="majorHAnsi" w:cstheme="majorBidi"/>
      <w:b/>
      <w:color w:val="000000" w:themeColor="text1"/>
      <w:sz w:val="10"/>
      <w:szCs w:val="32"/>
    </w:rPr>
  </w:style>
  <w:style w:type="paragraph" w:styleId="Footer">
    <w:name w:val="footer"/>
    <w:basedOn w:val="Normal"/>
    <w:link w:val="FooterChar"/>
    <w:uiPriority w:val="99"/>
    <w:unhideWhenUsed/>
    <w:rsid w:val="00680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72"/>
  </w:style>
  <w:style w:type="paragraph" w:customStyle="1" w:styleId="Memorandumtitle">
    <w:name w:val="Memorandum title"/>
    <w:aliases w:val="Arial 18pt blue"/>
    <w:basedOn w:val="Header"/>
    <w:qFormat/>
    <w:rsid w:val="00680A72"/>
    <w:rPr>
      <w:color w:val="25A9E0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20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403"/>
  </w:style>
  <w:style w:type="paragraph" w:customStyle="1" w:styleId="Arial10ptbodycopyblack">
    <w:name w:val="Arial 10pt body copy black"/>
    <w:basedOn w:val="Normal"/>
    <w:qFormat/>
    <w:rsid w:val="004544A5"/>
    <w:pPr>
      <w:spacing w:line="280" w:lineRule="exact"/>
    </w:pPr>
    <w:rPr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5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5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9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383\Downloads\CME_Group_Memorandum_Template_Public_US.dotx" TargetMode="External"/></Relationships>
</file>

<file path=word/theme/theme1.xml><?xml version="1.0" encoding="utf-8"?>
<a:theme xmlns:a="http://schemas.openxmlformats.org/drawingml/2006/main" name="CMEbrand2020">
  <a:themeElements>
    <a:clrScheme name="CME brand 2020">
      <a:dk1>
        <a:srgbClr val="000000"/>
      </a:dk1>
      <a:lt1>
        <a:srgbClr val="FFFFFF"/>
      </a:lt1>
      <a:dk2>
        <a:srgbClr val="24323C"/>
      </a:dk2>
      <a:lt2>
        <a:srgbClr val="EBEDEE"/>
      </a:lt2>
      <a:accent1>
        <a:srgbClr val="112B4A"/>
      </a:accent1>
      <a:accent2>
        <a:srgbClr val="25A9E0"/>
      </a:accent2>
      <a:accent3>
        <a:srgbClr val="596874"/>
      </a:accent3>
      <a:accent4>
        <a:srgbClr val="006EB6"/>
      </a:accent4>
      <a:accent5>
        <a:srgbClr val="00E373"/>
      </a:accent5>
      <a:accent6>
        <a:srgbClr val="E3E934"/>
      </a:accent6>
      <a:hlink>
        <a:srgbClr val="3CC8FF"/>
      </a:hlink>
      <a:folHlink>
        <a:srgbClr val="00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MEbrand2020" id="{1C6FCFC9-BBA6-8A4D-9F12-DD5AC90FD92E}" vid="{0870535F-7236-F342-916C-5A12F7916CA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A181-CFCE-40C7-A907-F836069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CME_Group_Memorandum_Template_Public_US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Emily</dc:creator>
  <cp:keywords/>
  <dc:description/>
  <cp:lastModifiedBy>Klein Gray, Anne</cp:lastModifiedBy>
  <cp:revision>2</cp:revision>
  <dcterms:created xsi:type="dcterms:W3CDTF">2021-03-01T21:12:00Z</dcterms:created>
  <dcterms:modified xsi:type="dcterms:W3CDTF">2021-03-01T21:12:00Z</dcterms:modified>
</cp:coreProperties>
</file>