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0A36" w14:textId="77777777" w:rsidR="007957D0" w:rsidRPr="005E1CF7" w:rsidRDefault="007957D0" w:rsidP="007957D0">
      <w:pPr>
        <w:spacing w:line="276" w:lineRule="auto"/>
        <w:jc w:val="both"/>
        <w:rPr>
          <w:rFonts w:ascii="Georgia" w:eastAsia="Calibri" w:hAnsi="Georgia" w:cs="Times New Roman"/>
          <w:i/>
          <w:iCs/>
          <w:u w:val="single"/>
        </w:rPr>
      </w:pPr>
      <w:r w:rsidRPr="005E1CF7">
        <w:rPr>
          <w:rFonts w:ascii="Georgia" w:eastAsia="Calibri" w:hAnsi="Georgia" w:cs="Times New Roman"/>
          <w:i/>
          <w:iCs/>
          <w:u w:val="single"/>
        </w:rPr>
        <w:t>Via Electronic Submission</w:t>
      </w:r>
    </w:p>
    <w:p w14:paraId="7A18BF83" w14:textId="77777777" w:rsidR="007957D0" w:rsidRPr="005E1CF7" w:rsidRDefault="007957D0" w:rsidP="007957D0">
      <w:pPr>
        <w:spacing w:line="276" w:lineRule="auto"/>
        <w:jc w:val="both"/>
        <w:rPr>
          <w:rFonts w:ascii="Georgia" w:eastAsia="Calibri" w:hAnsi="Georgia" w:cs="Times New Roman"/>
        </w:rPr>
      </w:pPr>
    </w:p>
    <w:p w14:paraId="2277F536" w14:textId="77777777" w:rsidR="007957D0" w:rsidRPr="005E1CF7" w:rsidRDefault="007957D0" w:rsidP="007957D0">
      <w:pPr>
        <w:spacing w:line="276" w:lineRule="auto"/>
        <w:jc w:val="both"/>
        <w:rPr>
          <w:rFonts w:ascii="Georgia" w:eastAsia="Calibri" w:hAnsi="Georgia" w:cs="Times New Roman"/>
        </w:rPr>
      </w:pPr>
      <w:r w:rsidRPr="005E1CF7">
        <w:rPr>
          <w:rFonts w:ascii="Georgia" w:eastAsia="Calibri" w:hAnsi="Georgia" w:cs="Times New Roman"/>
        </w:rPr>
        <w:t>Christopher Kirkpatrick</w:t>
      </w:r>
    </w:p>
    <w:p w14:paraId="6F06CC64" w14:textId="77777777" w:rsidR="007957D0" w:rsidRPr="005E1CF7" w:rsidRDefault="007957D0" w:rsidP="007957D0">
      <w:pPr>
        <w:spacing w:line="276" w:lineRule="auto"/>
        <w:jc w:val="both"/>
        <w:rPr>
          <w:rFonts w:ascii="Georgia" w:eastAsia="Calibri" w:hAnsi="Georgia" w:cs="Times New Roman"/>
        </w:rPr>
      </w:pPr>
      <w:r w:rsidRPr="005E1CF7">
        <w:rPr>
          <w:rFonts w:ascii="Georgia" w:eastAsia="Calibri" w:hAnsi="Georgia" w:cs="Times New Roman"/>
        </w:rPr>
        <w:t>Secretary of the Commission</w:t>
      </w:r>
    </w:p>
    <w:p w14:paraId="72DC05DF" w14:textId="77777777" w:rsidR="007957D0" w:rsidRPr="005E1CF7" w:rsidRDefault="007957D0" w:rsidP="007957D0">
      <w:pPr>
        <w:spacing w:line="276" w:lineRule="auto"/>
        <w:jc w:val="both"/>
        <w:rPr>
          <w:rFonts w:ascii="Georgia" w:eastAsia="Calibri" w:hAnsi="Georgia" w:cs="Times New Roman"/>
        </w:rPr>
      </w:pPr>
      <w:r w:rsidRPr="005E1CF7">
        <w:rPr>
          <w:rFonts w:ascii="Georgia" w:eastAsia="Calibri" w:hAnsi="Georgia" w:cs="Times New Roman"/>
        </w:rPr>
        <w:t>U.S. Commodity Futures Trading Commission</w:t>
      </w:r>
    </w:p>
    <w:p w14:paraId="7DDA2B6D" w14:textId="77777777" w:rsidR="007957D0" w:rsidRPr="005E1CF7" w:rsidRDefault="007957D0" w:rsidP="007957D0">
      <w:pPr>
        <w:spacing w:line="276" w:lineRule="auto"/>
        <w:jc w:val="both"/>
        <w:rPr>
          <w:rFonts w:ascii="Georgia" w:eastAsia="Calibri" w:hAnsi="Georgia" w:cs="Times New Roman"/>
        </w:rPr>
      </w:pPr>
      <w:r w:rsidRPr="005E1CF7">
        <w:rPr>
          <w:rFonts w:ascii="Georgia" w:eastAsia="Calibri" w:hAnsi="Georgia" w:cs="Times New Roman"/>
        </w:rPr>
        <w:t>Three Lafayette Centre</w:t>
      </w:r>
    </w:p>
    <w:p w14:paraId="35C0F8B2" w14:textId="77777777" w:rsidR="007957D0" w:rsidRPr="005E1CF7" w:rsidRDefault="007957D0" w:rsidP="007957D0">
      <w:pPr>
        <w:spacing w:line="276" w:lineRule="auto"/>
        <w:jc w:val="both"/>
        <w:rPr>
          <w:rFonts w:ascii="Georgia" w:eastAsia="Calibri" w:hAnsi="Georgia" w:cs="Times New Roman"/>
        </w:rPr>
      </w:pPr>
      <w:r w:rsidRPr="005E1CF7">
        <w:rPr>
          <w:rFonts w:ascii="Georgia" w:eastAsia="Calibri" w:hAnsi="Georgia" w:cs="Times New Roman"/>
        </w:rPr>
        <w:t>1155 21</w:t>
      </w:r>
      <w:r w:rsidRPr="005E1CF7">
        <w:rPr>
          <w:rFonts w:ascii="Georgia" w:eastAsia="Calibri" w:hAnsi="Georgia" w:cs="Times New Roman"/>
          <w:vertAlign w:val="superscript"/>
        </w:rPr>
        <w:t>st</w:t>
      </w:r>
      <w:r w:rsidRPr="005E1CF7">
        <w:rPr>
          <w:rFonts w:ascii="Georgia" w:eastAsia="Calibri" w:hAnsi="Georgia" w:cs="Times New Roman"/>
        </w:rPr>
        <w:t xml:space="preserve"> Street, NW</w:t>
      </w:r>
    </w:p>
    <w:p w14:paraId="4711A77F" w14:textId="77777777" w:rsidR="007957D0" w:rsidRPr="005E1CF7" w:rsidRDefault="007957D0" w:rsidP="007957D0">
      <w:pPr>
        <w:spacing w:line="276" w:lineRule="auto"/>
        <w:jc w:val="both"/>
        <w:rPr>
          <w:rFonts w:ascii="Georgia" w:eastAsia="Calibri" w:hAnsi="Georgia" w:cs="Times New Roman"/>
        </w:rPr>
      </w:pPr>
      <w:r w:rsidRPr="005E1CF7">
        <w:rPr>
          <w:rFonts w:ascii="Georgia" w:eastAsia="Calibri" w:hAnsi="Georgia" w:cs="Times New Roman"/>
        </w:rPr>
        <w:t>Washington, DC  20581</w:t>
      </w:r>
    </w:p>
    <w:p w14:paraId="0B537D05" w14:textId="77777777" w:rsidR="007957D0" w:rsidRPr="005E1CF7" w:rsidRDefault="007957D0" w:rsidP="007957D0">
      <w:pPr>
        <w:spacing w:line="276" w:lineRule="auto"/>
        <w:jc w:val="both"/>
        <w:rPr>
          <w:rFonts w:ascii="Georgia" w:eastAsia="Calibri" w:hAnsi="Georgia" w:cs="Times New Roman"/>
        </w:rPr>
      </w:pPr>
    </w:p>
    <w:p w14:paraId="1CEFE00B" w14:textId="77777777" w:rsidR="007957D0" w:rsidRPr="005E1CF7" w:rsidRDefault="007957D0" w:rsidP="007957D0">
      <w:pPr>
        <w:spacing w:line="276" w:lineRule="auto"/>
        <w:jc w:val="both"/>
        <w:rPr>
          <w:rFonts w:ascii="Georgia" w:eastAsia="Calibri" w:hAnsi="Georgia" w:cs="Times New Roman"/>
        </w:rPr>
      </w:pPr>
      <w:r w:rsidRPr="005E1CF7">
        <w:rPr>
          <w:rFonts w:ascii="Georgia" w:eastAsia="Calibri" w:hAnsi="Georgia" w:cs="Times New Roman"/>
        </w:rPr>
        <w:t>Re:</w:t>
      </w:r>
      <w:r w:rsidRPr="005E1CF7">
        <w:rPr>
          <w:rFonts w:ascii="Georgia" w:eastAsia="Calibri" w:hAnsi="Georgia" w:cs="Times New Roman"/>
        </w:rPr>
        <w:tab/>
        <w:t>Position Limits for Derivatives (RIN 3038-AD99)</w:t>
      </w:r>
    </w:p>
    <w:p w14:paraId="3972B474" w14:textId="77777777" w:rsidR="007957D0" w:rsidRPr="005E1CF7" w:rsidRDefault="007957D0" w:rsidP="007957D0">
      <w:pPr>
        <w:spacing w:line="276" w:lineRule="auto"/>
        <w:jc w:val="both"/>
        <w:rPr>
          <w:rFonts w:ascii="Georgia" w:eastAsia="Calibri" w:hAnsi="Georgia" w:cs="Times New Roman"/>
        </w:rPr>
      </w:pPr>
    </w:p>
    <w:p w14:paraId="0081914C" w14:textId="77777777" w:rsidR="007957D0" w:rsidRPr="005E1CF7" w:rsidRDefault="007957D0" w:rsidP="007957D0">
      <w:pPr>
        <w:spacing w:line="276" w:lineRule="auto"/>
        <w:jc w:val="both"/>
        <w:rPr>
          <w:rFonts w:ascii="Georgia" w:eastAsia="Calibri" w:hAnsi="Georgia" w:cs="Times New Roman"/>
        </w:rPr>
      </w:pPr>
      <w:r w:rsidRPr="005E1CF7">
        <w:rPr>
          <w:rFonts w:ascii="Georgia" w:eastAsia="Calibri" w:hAnsi="Georgia" w:cs="Times New Roman"/>
        </w:rPr>
        <w:t>Dear Mr. Kirkpatrick:</w:t>
      </w:r>
    </w:p>
    <w:p w14:paraId="05AFCB35" w14:textId="77777777" w:rsidR="007957D0" w:rsidRPr="005E1CF7" w:rsidRDefault="007957D0" w:rsidP="007957D0">
      <w:pPr>
        <w:spacing w:line="276" w:lineRule="auto"/>
        <w:jc w:val="both"/>
        <w:rPr>
          <w:rFonts w:ascii="Georgia" w:eastAsia="Calibri" w:hAnsi="Georgia" w:cs="Times New Roman"/>
        </w:rPr>
      </w:pPr>
    </w:p>
    <w:p w14:paraId="44136561" w14:textId="5DDA3039" w:rsidR="007957D0" w:rsidRDefault="001A11F4" w:rsidP="007957D0">
      <w:pPr>
        <w:spacing w:line="276" w:lineRule="auto"/>
        <w:jc w:val="both"/>
        <w:rPr>
          <w:rFonts w:ascii="Georgia" w:eastAsia="Calibri" w:hAnsi="Georgia" w:cs="Times New Roman"/>
        </w:rPr>
      </w:pPr>
      <w:r>
        <w:rPr>
          <w:rFonts w:ascii="Georgia" w:eastAsia="Calibri" w:hAnsi="Georgia" w:cs="Times New Roman"/>
        </w:rPr>
        <w:t xml:space="preserve">DECA Global , LLC and I </w:t>
      </w:r>
      <w:r w:rsidR="007957D0" w:rsidRPr="005E1CF7">
        <w:rPr>
          <w:rFonts w:ascii="Georgia" w:eastAsia="Calibri" w:hAnsi="Georgia" w:cs="Times New Roman"/>
        </w:rPr>
        <w:t>appreciate</w:t>
      </w:r>
      <w:r>
        <w:rPr>
          <w:rFonts w:ascii="Georgia" w:eastAsia="Calibri" w:hAnsi="Georgia" w:cs="Times New Roman"/>
        </w:rPr>
        <w:t xml:space="preserve"> </w:t>
      </w:r>
      <w:r w:rsidR="007957D0" w:rsidRPr="005E1CF7">
        <w:rPr>
          <w:rFonts w:ascii="Georgia" w:eastAsia="Calibri" w:hAnsi="Georgia" w:cs="Times New Roman"/>
        </w:rPr>
        <w:t xml:space="preserve">the opportunity to submit this comment letter in response to the Commodity Futures Trading Commission’s (“CFTC” or “Commission”) proposed rulemaking entitled “Positions Limits for Derivatives” (the “Proposal”).   </w:t>
      </w:r>
    </w:p>
    <w:p w14:paraId="5E4EA26E" w14:textId="09BA5019" w:rsidR="007957D0" w:rsidRDefault="007957D0" w:rsidP="007957D0">
      <w:pPr>
        <w:spacing w:line="276" w:lineRule="auto"/>
        <w:jc w:val="both"/>
        <w:rPr>
          <w:rFonts w:ascii="Georgia" w:eastAsia="Calibri" w:hAnsi="Georgia" w:cs="Times New Roman"/>
        </w:rPr>
      </w:pPr>
    </w:p>
    <w:p w14:paraId="4B9F8568" w14:textId="6803B70B" w:rsidR="007957D0" w:rsidRDefault="001A11F4" w:rsidP="007957D0">
      <w:pPr>
        <w:spacing w:line="276" w:lineRule="auto"/>
        <w:jc w:val="both"/>
        <w:rPr>
          <w:rFonts w:ascii="Georgia" w:eastAsia="Calibri" w:hAnsi="Georgia" w:cs="Times New Roman"/>
        </w:rPr>
      </w:pPr>
      <w:r>
        <w:rPr>
          <w:rFonts w:ascii="Georgia" w:eastAsia="Calibri" w:hAnsi="Georgia" w:cs="Times New Roman"/>
        </w:rPr>
        <w:t>We</w:t>
      </w:r>
      <w:r w:rsidR="007957D0">
        <w:rPr>
          <w:rFonts w:ascii="Georgia" w:eastAsia="Calibri" w:hAnsi="Georgia" w:cs="Times New Roman"/>
        </w:rPr>
        <w:t xml:space="preserve"> </w:t>
      </w:r>
      <w:r w:rsidR="007957D0" w:rsidRPr="005E1CF7">
        <w:rPr>
          <w:rFonts w:ascii="Georgia" w:eastAsia="Calibri" w:hAnsi="Georgia" w:cs="Times New Roman"/>
        </w:rPr>
        <w:t>support</w:t>
      </w:r>
      <w:r>
        <w:rPr>
          <w:rFonts w:ascii="Georgia" w:eastAsia="Calibri" w:hAnsi="Georgia" w:cs="Times New Roman"/>
        </w:rPr>
        <w:t xml:space="preserve"> your </w:t>
      </w:r>
      <w:r w:rsidR="007957D0" w:rsidRPr="005E1CF7">
        <w:rPr>
          <w:rFonts w:ascii="Georgia" w:eastAsia="Calibri" w:hAnsi="Georgia" w:cs="Times New Roman"/>
        </w:rPr>
        <w:t xml:space="preserve">efforts to issue a final position limits </w:t>
      </w:r>
      <w:r w:rsidR="007957D0">
        <w:rPr>
          <w:rFonts w:ascii="Georgia" w:eastAsia="Calibri" w:hAnsi="Georgia" w:cs="Times New Roman"/>
        </w:rPr>
        <w:t xml:space="preserve">rule </w:t>
      </w:r>
      <w:r w:rsidR="007957D0" w:rsidRPr="005E1CF7">
        <w:rPr>
          <w:rFonts w:ascii="Georgia" w:eastAsia="Calibri" w:hAnsi="Georgia" w:cs="Times New Roman"/>
        </w:rPr>
        <w:t xml:space="preserve">for </w:t>
      </w:r>
      <w:r>
        <w:rPr>
          <w:rFonts w:ascii="Georgia" w:eastAsia="Calibri" w:hAnsi="Georgia" w:cs="Times New Roman"/>
        </w:rPr>
        <w:t xml:space="preserve">many </w:t>
      </w:r>
      <w:r w:rsidR="007957D0" w:rsidRPr="005E1CF7">
        <w:rPr>
          <w:rFonts w:ascii="Georgia" w:eastAsia="Calibri" w:hAnsi="Georgia" w:cs="Times New Roman"/>
        </w:rPr>
        <w:t>reasons.  First, a final rule</w:t>
      </w:r>
      <w:r w:rsidR="00E02E5A">
        <w:rPr>
          <w:rFonts w:ascii="Georgia" w:eastAsia="Calibri" w:hAnsi="Georgia" w:cs="Times New Roman"/>
        </w:rPr>
        <w:t xml:space="preserve"> , with some amendments which we suggest below , </w:t>
      </w:r>
      <w:bookmarkStart w:id="0" w:name="_GoBack"/>
      <w:bookmarkEnd w:id="0"/>
      <w:r w:rsidR="007957D0" w:rsidRPr="005E1CF7">
        <w:rPr>
          <w:rFonts w:ascii="Georgia" w:eastAsia="Calibri" w:hAnsi="Georgia" w:cs="Times New Roman"/>
        </w:rPr>
        <w:t xml:space="preserve"> will provide certainty to </w:t>
      </w:r>
      <w:r w:rsidR="007957D0">
        <w:rPr>
          <w:rFonts w:ascii="Georgia" w:eastAsia="Calibri" w:hAnsi="Georgia" w:cs="Times New Roman"/>
        </w:rPr>
        <w:t xml:space="preserve">firms </w:t>
      </w:r>
      <w:r w:rsidR="00565B9E">
        <w:rPr>
          <w:rFonts w:ascii="Georgia" w:eastAsia="Calibri" w:hAnsi="Georgia" w:cs="Times New Roman"/>
        </w:rPr>
        <w:t xml:space="preserve">not only like ours but also to all market participants. </w:t>
      </w:r>
      <w:r w:rsidR="007957D0" w:rsidRPr="005E1CF7">
        <w:rPr>
          <w:rFonts w:ascii="Georgia" w:eastAsia="Calibri" w:hAnsi="Georgia" w:cs="Times New Roman"/>
        </w:rPr>
        <w:t>Second</w:t>
      </w:r>
      <w:r>
        <w:rPr>
          <w:rFonts w:ascii="Georgia" w:eastAsia="Calibri" w:hAnsi="Georgia" w:cs="Times New Roman"/>
        </w:rPr>
        <w:t>ly</w:t>
      </w:r>
      <w:r w:rsidR="007957D0" w:rsidRPr="005E1CF7">
        <w:rPr>
          <w:rFonts w:ascii="Georgia" w:eastAsia="Calibri" w:hAnsi="Georgia" w:cs="Times New Roman"/>
        </w:rPr>
        <w:t>, the Commission’s revisions to the bona fide hedging exemptions align more with how t</w:t>
      </w:r>
      <w:r>
        <w:rPr>
          <w:rFonts w:ascii="Georgia" w:eastAsia="Calibri" w:hAnsi="Georgia" w:cs="Times New Roman"/>
        </w:rPr>
        <w:t>oday’s</w:t>
      </w:r>
      <w:r w:rsidR="007957D0" w:rsidRPr="005E1CF7">
        <w:rPr>
          <w:rFonts w:ascii="Georgia" w:eastAsia="Calibri" w:hAnsi="Georgia" w:cs="Times New Roman"/>
        </w:rPr>
        <w:t xml:space="preserve"> cotton market operates and </w:t>
      </w:r>
      <w:r w:rsidR="007957D0">
        <w:rPr>
          <w:rFonts w:ascii="Georgia" w:eastAsia="Calibri" w:hAnsi="Georgia" w:cs="Times New Roman"/>
        </w:rPr>
        <w:t xml:space="preserve">how </w:t>
      </w:r>
      <w:r>
        <w:rPr>
          <w:rFonts w:ascii="Georgia" w:eastAsia="Calibri" w:hAnsi="Georgia" w:cs="Times New Roman"/>
        </w:rPr>
        <w:t xml:space="preserve">the industry </w:t>
      </w:r>
      <w:r w:rsidR="007957D0" w:rsidRPr="005E1CF7">
        <w:rPr>
          <w:rFonts w:ascii="Georgia" w:eastAsia="Calibri" w:hAnsi="Georgia" w:cs="Times New Roman"/>
        </w:rPr>
        <w:t>conduct</w:t>
      </w:r>
      <w:r>
        <w:rPr>
          <w:rFonts w:ascii="Georgia" w:eastAsia="Calibri" w:hAnsi="Georgia" w:cs="Times New Roman"/>
        </w:rPr>
        <w:t>s business</w:t>
      </w:r>
      <w:r w:rsidR="007957D0" w:rsidRPr="005E1CF7">
        <w:rPr>
          <w:rFonts w:ascii="Georgia" w:eastAsia="Calibri" w:hAnsi="Georgia" w:cs="Times New Roman"/>
        </w:rPr>
        <w:t xml:space="preserve">.  </w:t>
      </w:r>
      <w:r>
        <w:rPr>
          <w:rFonts w:ascii="Georgia" w:eastAsia="Calibri" w:hAnsi="Georgia" w:cs="Times New Roman"/>
        </w:rPr>
        <w:t>Lastly</w:t>
      </w:r>
      <w:r w:rsidR="007957D0" w:rsidRPr="005E1CF7">
        <w:rPr>
          <w:rFonts w:ascii="Georgia" w:eastAsia="Calibri" w:hAnsi="Georgia" w:cs="Times New Roman"/>
        </w:rPr>
        <w:t xml:space="preserve">, </w:t>
      </w:r>
      <w:r w:rsidR="00565B9E">
        <w:rPr>
          <w:rFonts w:ascii="Georgia" w:eastAsia="Calibri" w:hAnsi="Georgia" w:cs="Times New Roman"/>
        </w:rPr>
        <w:t xml:space="preserve">while we </w:t>
      </w:r>
      <w:r>
        <w:rPr>
          <w:rFonts w:ascii="Georgia" w:eastAsia="Calibri" w:hAnsi="Georgia" w:cs="Times New Roman"/>
        </w:rPr>
        <w:t xml:space="preserve"> </w:t>
      </w:r>
      <w:r w:rsidR="007957D0" w:rsidRPr="005E1CF7">
        <w:rPr>
          <w:rFonts w:ascii="Georgia" w:eastAsia="Calibri" w:hAnsi="Georgia" w:cs="Times New Roman"/>
        </w:rPr>
        <w:t>support the Proposal, we believe the Commission should consider several revisions</w:t>
      </w:r>
      <w:r>
        <w:rPr>
          <w:rFonts w:ascii="Georgia" w:eastAsia="Calibri" w:hAnsi="Georgia" w:cs="Times New Roman"/>
        </w:rPr>
        <w:t xml:space="preserve">. </w:t>
      </w:r>
      <w:r w:rsidR="007957D0" w:rsidRPr="005E1CF7">
        <w:rPr>
          <w:rFonts w:ascii="Georgia" w:eastAsia="Calibri" w:hAnsi="Georgia" w:cs="Times New Roman"/>
        </w:rPr>
        <w:t xml:space="preserve"> </w:t>
      </w:r>
      <w:r>
        <w:rPr>
          <w:rFonts w:ascii="Georgia" w:eastAsia="Calibri" w:hAnsi="Georgia" w:cs="Times New Roman"/>
        </w:rPr>
        <w:t xml:space="preserve">We </w:t>
      </w:r>
      <w:r w:rsidR="007957D0" w:rsidRPr="005E1CF7">
        <w:rPr>
          <w:rFonts w:ascii="Georgia" w:eastAsia="Calibri" w:hAnsi="Georgia" w:cs="Times New Roman"/>
        </w:rPr>
        <w:t>discuss</w:t>
      </w:r>
      <w:r>
        <w:rPr>
          <w:rFonts w:ascii="Georgia" w:eastAsia="Calibri" w:hAnsi="Georgia" w:cs="Times New Roman"/>
        </w:rPr>
        <w:t xml:space="preserve"> these</w:t>
      </w:r>
      <w:r w:rsidR="00565B9E">
        <w:rPr>
          <w:rFonts w:ascii="Georgia" w:eastAsia="Calibri" w:hAnsi="Georgia" w:cs="Times New Roman"/>
        </w:rPr>
        <w:t xml:space="preserve"> requested </w:t>
      </w:r>
      <w:r w:rsidR="007957D0" w:rsidRPr="005E1CF7">
        <w:rPr>
          <w:rFonts w:ascii="Georgia" w:eastAsia="Calibri" w:hAnsi="Georgia" w:cs="Times New Roman"/>
        </w:rPr>
        <w:t>below</w:t>
      </w:r>
      <w:r>
        <w:rPr>
          <w:rFonts w:ascii="Georgia" w:eastAsia="Calibri" w:hAnsi="Georgia" w:cs="Times New Roman"/>
        </w:rPr>
        <w:t xml:space="preserve"> but they </w:t>
      </w:r>
      <w:r w:rsidR="007957D0" w:rsidRPr="005E1CF7">
        <w:rPr>
          <w:rFonts w:ascii="Georgia" w:eastAsia="Calibri" w:hAnsi="Georgia" w:cs="Times New Roman"/>
        </w:rPr>
        <w:t>relat</w:t>
      </w:r>
      <w:r>
        <w:rPr>
          <w:rFonts w:ascii="Georgia" w:eastAsia="Calibri" w:hAnsi="Georgia" w:cs="Times New Roman"/>
        </w:rPr>
        <w:t>e</w:t>
      </w:r>
      <w:r w:rsidR="007957D0" w:rsidRPr="005E1CF7">
        <w:rPr>
          <w:rFonts w:ascii="Georgia" w:eastAsia="Calibri" w:hAnsi="Georgia" w:cs="Times New Roman"/>
        </w:rPr>
        <w:t xml:space="preserve"> to unfixed</w:t>
      </w:r>
      <w:r w:rsidR="007957D0">
        <w:rPr>
          <w:rFonts w:ascii="Georgia" w:eastAsia="Calibri" w:hAnsi="Georgia" w:cs="Times New Roman"/>
        </w:rPr>
        <w:t>-</w:t>
      </w:r>
      <w:r w:rsidR="007957D0" w:rsidRPr="005E1CF7">
        <w:rPr>
          <w:rFonts w:ascii="Georgia" w:eastAsia="Calibri" w:hAnsi="Georgia" w:cs="Times New Roman"/>
        </w:rPr>
        <w:t xml:space="preserve">price sales, deliverable supply estimates, and non-spot month limits.   </w:t>
      </w:r>
    </w:p>
    <w:p w14:paraId="0E3FED3C" w14:textId="457CBE95" w:rsidR="007957D0" w:rsidRDefault="007957D0" w:rsidP="007957D0">
      <w:pPr>
        <w:spacing w:line="276" w:lineRule="auto"/>
        <w:jc w:val="both"/>
        <w:rPr>
          <w:rFonts w:ascii="Georgia" w:eastAsia="Calibri" w:hAnsi="Georgia" w:cs="Times New Roman"/>
        </w:rPr>
      </w:pPr>
    </w:p>
    <w:p w14:paraId="5DA84546" w14:textId="37E8214E" w:rsidR="007957D0" w:rsidRPr="007957D0" w:rsidRDefault="007957D0" w:rsidP="007957D0">
      <w:pPr>
        <w:pStyle w:val="ListParagraph"/>
        <w:numPr>
          <w:ilvl w:val="0"/>
          <w:numId w:val="2"/>
        </w:numPr>
        <w:spacing w:line="276" w:lineRule="auto"/>
        <w:jc w:val="both"/>
        <w:rPr>
          <w:rFonts w:ascii="Georgia" w:eastAsia="Calibri" w:hAnsi="Georgia" w:cs="Times New Roman"/>
        </w:rPr>
      </w:pPr>
      <w:r w:rsidRPr="007957D0">
        <w:rPr>
          <w:rFonts w:ascii="Georgia" w:eastAsia="Calibri" w:hAnsi="Georgia" w:cs="Times New Roman"/>
        </w:rPr>
        <w:t>Introduction</w:t>
      </w:r>
    </w:p>
    <w:p w14:paraId="0208E9B5" w14:textId="2AFA88A4" w:rsidR="007957D0" w:rsidRDefault="007957D0" w:rsidP="007957D0">
      <w:pPr>
        <w:spacing w:line="276" w:lineRule="auto"/>
        <w:jc w:val="both"/>
        <w:rPr>
          <w:rFonts w:ascii="Georgia" w:eastAsia="Calibri" w:hAnsi="Georgia" w:cs="Times New Roman"/>
        </w:rPr>
      </w:pPr>
    </w:p>
    <w:p w14:paraId="6858C4C9" w14:textId="327AEE70" w:rsidR="007957D0" w:rsidRDefault="001A11F4" w:rsidP="007957D0">
      <w:pPr>
        <w:spacing w:line="276" w:lineRule="auto"/>
        <w:jc w:val="both"/>
        <w:rPr>
          <w:rFonts w:ascii="Georgia" w:eastAsia="Calibri" w:hAnsi="Georgia" w:cs="Times New Roman"/>
        </w:rPr>
      </w:pPr>
      <w:r>
        <w:rPr>
          <w:rFonts w:ascii="Georgia" w:eastAsia="Calibri" w:hAnsi="Georgia" w:cs="Times New Roman"/>
        </w:rPr>
        <w:t xml:space="preserve">DECA Global, LLC is a Memphis , TN based demand driven supplier to the global textile industry. Started as a ‘cotton only’ firm in the late 1980’s we have broadened our offerings into yarn and as well as other fibers and in addition to cotton trading we export American made goods to multiple foreign markets. Today our cotton trading is based in our Greenville , SC office with all other operations still run out of Memphis. </w:t>
      </w:r>
    </w:p>
    <w:p w14:paraId="5C56526D" w14:textId="76A50606" w:rsidR="007957D0" w:rsidRDefault="007957D0" w:rsidP="007957D0">
      <w:pPr>
        <w:spacing w:line="276" w:lineRule="auto"/>
        <w:jc w:val="both"/>
        <w:rPr>
          <w:rFonts w:ascii="Georgia" w:eastAsia="Calibri" w:hAnsi="Georgia" w:cs="Times New Roman"/>
        </w:rPr>
      </w:pPr>
    </w:p>
    <w:p w14:paraId="33E4F9A2" w14:textId="771DBDAF" w:rsidR="007957D0" w:rsidRPr="007957D0" w:rsidRDefault="007957D0" w:rsidP="007957D0">
      <w:pPr>
        <w:pStyle w:val="ListParagraph"/>
        <w:numPr>
          <w:ilvl w:val="0"/>
          <w:numId w:val="2"/>
        </w:numPr>
        <w:spacing w:line="276" w:lineRule="auto"/>
        <w:jc w:val="both"/>
        <w:rPr>
          <w:rFonts w:ascii="Georgia" w:eastAsia="Calibri" w:hAnsi="Georgia" w:cs="Times New Roman"/>
        </w:rPr>
      </w:pPr>
      <w:r w:rsidRPr="007957D0">
        <w:rPr>
          <w:rFonts w:ascii="Georgia" w:eastAsia="Calibri" w:hAnsi="Georgia" w:cs="Times New Roman"/>
        </w:rPr>
        <w:t>The Proposal</w:t>
      </w:r>
    </w:p>
    <w:p w14:paraId="5DB09459" w14:textId="77777777" w:rsidR="007957D0" w:rsidRDefault="007957D0" w:rsidP="007957D0">
      <w:pPr>
        <w:spacing w:after="200" w:line="276" w:lineRule="auto"/>
        <w:ind w:left="720" w:hanging="360"/>
        <w:contextualSpacing/>
        <w:jc w:val="both"/>
      </w:pPr>
    </w:p>
    <w:p w14:paraId="2670B147" w14:textId="1B0F85DA" w:rsidR="007957D0" w:rsidRPr="007957D0" w:rsidRDefault="001A11F4" w:rsidP="007957D0">
      <w:pPr>
        <w:spacing w:after="200" w:line="276" w:lineRule="auto"/>
        <w:contextualSpacing/>
        <w:jc w:val="both"/>
        <w:rPr>
          <w:rFonts w:ascii="Georgia" w:eastAsia="Calibri" w:hAnsi="Georgia" w:cs="Times New Roman"/>
          <w:u w:val="single"/>
        </w:rPr>
      </w:pPr>
      <w:r>
        <w:rPr>
          <w:rFonts w:ascii="Georgia" w:eastAsia="Calibri" w:hAnsi="Georgia" w:cs="Times New Roman"/>
        </w:rPr>
        <w:t xml:space="preserve">DECA Global, LLC </w:t>
      </w:r>
      <w:r w:rsidR="007957D0" w:rsidRPr="005E1CF7">
        <w:rPr>
          <w:rFonts w:ascii="Georgia" w:eastAsia="Calibri" w:hAnsi="Georgia" w:cs="Times New Roman"/>
        </w:rPr>
        <w:t xml:space="preserve">writes in support of the comment letter submitted by </w:t>
      </w:r>
      <w:r w:rsidR="007957D0">
        <w:rPr>
          <w:rFonts w:ascii="Georgia" w:eastAsia="Calibri" w:hAnsi="Georgia" w:cs="Times New Roman"/>
        </w:rPr>
        <w:t>t</w:t>
      </w:r>
      <w:r w:rsidR="007957D0" w:rsidRPr="005E1CF7">
        <w:rPr>
          <w:rFonts w:ascii="Georgia" w:eastAsia="Calibri" w:hAnsi="Georgia" w:cs="Times New Roman"/>
        </w:rPr>
        <w:t>he</w:t>
      </w:r>
      <w:r w:rsidR="007957D0">
        <w:rPr>
          <w:rFonts w:ascii="Georgia" w:eastAsia="Calibri" w:hAnsi="Georgia" w:cs="Times New Roman"/>
        </w:rPr>
        <w:t xml:space="preserve"> American Cotton Shippers Association (“ASCA”).  As a member of ACSA, we support </w:t>
      </w:r>
      <w:r>
        <w:rPr>
          <w:rFonts w:ascii="Georgia" w:eastAsia="Calibri" w:hAnsi="Georgia" w:cs="Times New Roman"/>
        </w:rPr>
        <w:t xml:space="preserve">their </w:t>
      </w:r>
      <w:r w:rsidR="007957D0">
        <w:rPr>
          <w:rFonts w:ascii="Georgia" w:eastAsia="Calibri" w:hAnsi="Georgia" w:cs="Times New Roman"/>
        </w:rPr>
        <w:t xml:space="preserve">comments </w:t>
      </w:r>
      <w:r>
        <w:rPr>
          <w:rFonts w:ascii="Georgia" w:eastAsia="Calibri" w:hAnsi="Georgia" w:cs="Times New Roman"/>
        </w:rPr>
        <w:t xml:space="preserve">as well as the comments of other related </w:t>
      </w:r>
      <w:r w:rsidR="007957D0">
        <w:rPr>
          <w:rFonts w:ascii="Georgia" w:eastAsia="Calibri" w:hAnsi="Georgia" w:cs="Times New Roman"/>
        </w:rPr>
        <w:t xml:space="preserve">other trade organizations to the extent those comments are consistent with those </w:t>
      </w:r>
      <w:r>
        <w:rPr>
          <w:rFonts w:ascii="Georgia" w:eastAsia="Calibri" w:hAnsi="Georgia" w:cs="Times New Roman"/>
        </w:rPr>
        <w:t>expressed here</w:t>
      </w:r>
      <w:r w:rsidR="007957D0">
        <w:rPr>
          <w:rFonts w:ascii="Georgia" w:eastAsia="Calibri" w:hAnsi="Georgia" w:cs="Times New Roman"/>
        </w:rPr>
        <w:t xml:space="preserve">.   </w:t>
      </w:r>
    </w:p>
    <w:p w14:paraId="5C602636" w14:textId="735F52D1" w:rsidR="007957D0" w:rsidRPr="007957D0" w:rsidRDefault="007957D0" w:rsidP="007957D0">
      <w:pPr>
        <w:pStyle w:val="ListParagraph"/>
        <w:numPr>
          <w:ilvl w:val="1"/>
          <w:numId w:val="2"/>
        </w:numPr>
        <w:spacing w:after="200" w:line="276" w:lineRule="auto"/>
        <w:jc w:val="both"/>
        <w:rPr>
          <w:rFonts w:ascii="Georgia" w:eastAsia="Calibri" w:hAnsi="Georgia" w:cs="Times New Roman"/>
        </w:rPr>
      </w:pPr>
      <w:r>
        <w:rPr>
          <w:rFonts w:ascii="Georgia" w:eastAsia="Calibri" w:hAnsi="Georgia" w:cs="Times New Roman"/>
        </w:rPr>
        <w:lastRenderedPageBreak/>
        <w:t xml:space="preserve">Risk Management Exemptions </w:t>
      </w:r>
    </w:p>
    <w:p w14:paraId="6B6AA86B" w14:textId="3D8EAB7A" w:rsidR="007957D0" w:rsidRDefault="007957D0" w:rsidP="007957D0">
      <w:pPr>
        <w:spacing w:after="200" w:line="276" w:lineRule="auto"/>
        <w:contextualSpacing/>
        <w:jc w:val="both"/>
        <w:rPr>
          <w:rFonts w:ascii="Georgia" w:eastAsia="Calibri" w:hAnsi="Georgia" w:cs="Times New Roman"/>
        </w:rPr>
      </w:pPr>
      <w:r>
        <w:rPr>
          <w:rFonts w:ascii="Georgia" w:eastAsia="Calibri" w:hAnsi="Georgia" w:cs="Times New Roman"/>
        </w:rPr>
        <w:t xml:space="preserve">We support the Commission’s revisions to the </w:t>
      </w:r>
      <w:r w:rsidRPr="005E1CF7">
        <w:rPr>
          <w:rFonts w:ascii="Georgia" w:eastAsia="Calibri" w:hAnsi="Georgia" w:cs="Times New Roman"/>
        </w:rPr>
        <w:t xml:space="preserve">“Temporary Substitute Test” and the elimination of risk management exemptions for banks </w:t>
      </w:r>
      <w:r w:rsidR="001A11F4">
        <w:rPr>
          <w:rFonts w:ascii="Georgia" w:eastAsia="Calibri" w:hAnsi="Georgia" w:cs="Times New Roman"/>
        </w:rPr>
        <w:t xml:space="preserve">as </w:t>
      </w:r>
      <w:r w:rsidRPr="005E1CF7">
        <w:rPr>
          <w:rFonts w:ascii="Georgia" w:eastAsia="Calibri" w:hAnsi="Georgia" w:cs="Times New Roman"/>
        </w:rPr>
        <w:t>outsized position</w:t>
      </w:r>
      <w:r>
        <w:rPr>
          <w:rFonts w:ascii="Georgia" w:eastAsia="Calibri" w:hAnsi="Georgia" w:cs="Times New Roman"/>
        </w:rPr>
        <w:t>s</w:t>
      </w:r>
      <w:r w:rsidRPr="005E1CF7">
        <w:rPr>
          <w:rFonts w:ascii="Georgia" w:eastAsia="Calibri" w:hAnsi="Georgia" w:cs="Times New Roman"/>
        </w:rPr>
        <w:t xml:space="preserve"> in physical commodity-focused indexes can have significant</w:t>
      </w:r>
      <w:r w:rsidR="001A11F4">
        <w:rPr>
          <w:rFonts w:ascii="Georgia" w:eastAsia="Calibri" w:hAnsi="Georgia" w:cs="Times New Roman"/>
        </w:rPr>
        <w:t xml:space="preserve"> on </w:t>
      </w:r>
      <w:r w:rsidRPr="005E1CF7">
        <w:rPr>
          <w:rFonts w:ascii="Georgia" w:eastAsia="Calibri" w:hAnsi="Georgia" w:cs="Times New Roman"/>
        </w:rPr>
        <w:t>adverse effects on futures market price dynamics.</w:t>
      </w:r>
    </w:p>
    <w:p w14:paraId="30C07756" w14:textId="4F150741" w:rsidR="007957D0" w:rsidRPr="007957D0" w:rsidRDefault="007957D0" w:rsidP="007957D0">
      <w:pPr>
        <w:pStyle w:val="ListParagraph"/>
        <w:numPr>
          <w:ilvl w:val="1"/>
          <w:numId w:val="2"/>
        </w:numPr>
        <w:spacing w:after="200" w:line="276" w:lineRule="auto"/>
        <w:jc w:val="both"/>
        <w:rPr>
          <w:rFonts w:ascii="Georgia" w:eastAsia="Calibri" w:hAnsi="Georgia" w:cs="Times New Roman"/>
        </w:rPr>
      </w:pPr>
      <w:r>
        <w:rPr>
          <w:rFonts w:ascii="Georgia" w:eastAsia="Calibri" w:hAnsi="Georgia" w:cs="Times New Roman"/>
        </w:rPr>
        <w:t>Enumerated Hedges</w:t>
      </w:r>
    </w:p>
    <w:p w14:paraId="04E49FF7" w14:textId="15F047F1" w:rsidR="003C166D" w:rsidRDefault="007957D0" w:rsidP="003C166D">
      <w:pPr>
        <w:spacing w:after="200" w:line="276" w:lineRule="auto"/>
        <w:contextualSpacing/>
        <w:jc w:val="both"/>
        <w:rPr>
          <w:rFonts w:ascii="Georgia" w:eastAsia="Calibri" w:hAnsi="Georgia" w:cs="Times New Roman"/>
        </w:rPr>
      </w:pPr>
      <w:r w:rsidRPr="005E1CF7">
        <w:rPr>
          <w:rFonts w:ascii="Georgia" w:eastAsia="Calibri" w:hAnsi="Georgia" w:cs="Times New Roman"/>
        </w:rPr>
        <w:t xml:space="preserve">Although </w:t>
      </w:r>
      <w:r>
        <w:rPr>
          <w:rFonts w:ascii="Georgia" w:eastAsia="Calibri" w:hAnsi="Georgia" w:cs="Times New Roman"/>
        </w:rPr>
        <w:t>we</w:t>
      </w:r>
      <w:r w:rsidRPr="005E1CF7">
        <w:rPr>
          <w:rFonts w:ascii="Georgia" w:eastAsia="Calibri" w:hAnsi="Georgia" w:cs="Times New Roman"/>
        </w:rPr>
        <w:t xml:space="preserve"> support and appreciate the Commission’s efforts to expand the list of enumerated hedges, we are concerned that the Proposal would not </w:t>
      </w:r>
      <w:r>
        <w:rPr>
          <w:rFonts w:ascii="Georgia" w:eastAsia="Calibri" w:hAnsi="Georgia" w:cs="Times New Roman"/>
        </w:rPr>
        <w:t xml:space="preserve">provide the </w:t>
      </w:r>
      <w:r w:rsidRPr="005E1CF7">
        <w:rPr>
          <w:rFonts w:ascii="Georgia" w:eastAsia="Calibri" w:hAnsi="Georgia" w:cs="Times New Roman"/>
        </w:rPr>
        <w:t>exchanges the authority to grant hedge exemptions through the enumerated process that will allow merchants to properly manage calendar spread price risk and supply price risk associated with unfixed-price sales contracts.</w:t>
      </w:r>
      <w:r>
        <w:rPr>
          <w:rFonts w:ascii="Georgia" w:eastAsia="Calibri" w:hAnsi="Georgia" w:cs="Times New Roman"/>
        </w:rPr>
        <w:t xml:space="preserve">  </w:t>
      </w:r>
      <w:r w:rsidRPr="005E1CF7">
        <w:rPr>
          <w:rFonts w:ascii="Georgia" w:eastAsia="Calibri" w:hAnsi="Georgia" w:cs="Times New Roman"/>
        </w:rPr>
        <w:t>We recognize that there are multiple ways the Commission could address these risks associated with unfixed-price sales contracts</w:t>
      </w:r>
      <w:r w:rsidR="003C166D">
        <w:rPr>
          <w:rFonts w:ascii="Georgia" w:eastAsia="Calibri" w:hAnsi="Georgia" w:cs="Times New Roman"/>
        </w:rPr>
        <w:t xml:space="preserve">, and we support the three methods outlined in ACSA’s letter: (1) </w:t>
      </w:r>
      <w:r w:rsidR="003C166D" w:rsidRPr="003C166D">
        <w:rPr>
          <w:rFonts w:ascii="Georgia" w:eastAsia="Calibri" w:hAnsi="Georgia" w:cs="Times New Roman"/>
        </w:rPr>
        <w:t>Utilize Anticipatory Merchandising</w:t>
      </w:r>
      <w:r w:rsidR="003C166D">
        <w:rPr>
          <w:rFonts w:ascii="Georgia" w:eastAsia="Calibri" w:hAnsi="Georgia" w:cs="Times New Roman"/>
        </w:rPr>
        <w:t xml:space="preserve">; (2) </w:t>
      </w:r>
      <w:r w:rsidR="003C166D" w:rsidRPr="003C166D">
        <w:rPr>
          <w:rFonts w:ascii="Georgia" w:eastAsia="Calibri" w:hAnsi="Georgia" w:cs="Times New Roman"/>
        </w:rPr>
        <w:t>Modify the Definition for Hedges of Offsetting Unfixed-Price Cash Commodity Sales and Purchases</w:t>
      </w:r>
      <w:r w:rsidR="003C166D">
        <w:rPr>
          <w:rFonts w:ascii="Georgia" w:eastAsia="Calibri" w:hAnsi="Georgia" w:cs="Times New Roman"/>
        </w:rPr>
        <w:t xml:space="preserve"> and (3) </w:t>
      </w:r>
      <w:r w:rsidR="003C166D" w:rsidRPr="003C166D">
        <w:rPr>
          <w:rFonts w:ascii="Georgia" w:eastAsia="Calibri" w:hAnsi="Georgia" w:cs="Times New Roman"/>
        </w:rPr>
        <w:t>Create a New Enumerated Hedge Category</w:t>
      </w:r>
      <w:r w:rsidR="00565B9E">
        <w:rPr>
          <w:rFonts w:ascii="Georgia" w:eastAsia="Calibri" w:hAnsi="Georgia" w:cs="Times New Roman"/>
        </w:rPr>
        <w:t>.</w:t>
      </w:r>
    </w:p>
    <w:p w14:paraId="1504A090" w14:textId="77777777" w:rsidR="003C166D" w:rsidRPr="003C166D" w:rsidRDefault="007957D0" w:rsidP="003C166D">
      <w:pPr>
        <w:pStyle w:val="ListParagraph"/>
        <w:numPr>
          <w:ilvl w:val="1"/>
          <w:numId w:val="2"/>
        </w:numPr>
        <w:spacing w:after="200" w:line="276" w:lineRule="auto"/>
        <w:jc w:val="both"/>
        <w:rPr>
          <w:rFonts w:ascii="Georgia" w:eastAsia="Calibri" w:hAnsi="Georgia" w:cs="Times New Roman"/>
          <w:u w:val="single"/>
        </w:rPr>
      </w:pPr>
      <w:r w:rsidRPr="003C166D">
        <w:rPr>
          <w:rFonts w:ascii="Georgia" w:eastAsia="Calibri" w:hAnsi="Georgia" w:cs="Times New Roman"/>
        </w:rPr>
        <w:t xml:space="preserve">Deliverable Supply </w:t>
      </w:r>
    </w:p>
    <w:p w14:paraId="41EB38A3" w14:textId="0FA513CC" w:rsidR="003C166D" w:rsidRDefault="007957D0" w:rsidP="003C166D">
      <w:pPr>
        <w:spacing w:after="200" w:line="276" w:lineRule="auto"/>
        <w:jc w:val="both"/>
        <w:rPr>
          <w:rFonts w:ascii="Georgia" w:eastAsia="Calibri" w:hAnsi="Georgia" w:cs="Times New Roman"/>
          <w:u w:val="single"/>
        </w:rPr>
      </w:pPr>
      <w:r w:rsidRPr="003C166D">
        <w:rPr>
          <w:rFonts w:ascii="Georgia" w:eastAsia="Calibri" w:hAnsi="Georgia" w:cs="Times New Roman"/>
        </w:rPr>
        <w:t xml:space="preserve">We disagree with the Commission’s acceptance of the deliverable supply estimates for the U.S. Cotton No. 2 (“CT”) contract.  Deliverable supply estimates should be considered in terms of a product’s quality and its legitimate, </w:t>
      </w:r>
      <w:r w:rsidR="00565B9E">
        <w:rPr>
          <w:rFonts w:ascii="Georgia" w:eastAsia="Calibri" w:hAnsi="Georgia" w:cs="Times New Roman"/>
        </w:rPr>
        <w:t xml:space="preserve">available and </w:t>
      </w:r>
      <w:r w:rsidRPr="003C166D">
        <w:rPr>
          <w:rFonts w:ascii="Georgia" w:eastAsia="Calibri" w:hAnsi="Georgia" w:cs="Times New Roman"/>
        </w:rPr>
        <w:t xml:space="preserve">logistical </w:t>
      </w:r>
      <w:r w:rsidR="00565B9E">
        <w:rPr>
          <w:rFonts w:ascii="Georgia" w:eastAsia="Calibri" w:hAnsi="Georgia" w:cs="Times New Roman"/>
        </w:rPr>
        <w:t>supply that is potentially deliverable</w:t>
      </w:r>
      <w:r w:rsidRPr="003C166D">
        <w:rPr>
          <w:rFonts w:ascii="Georgia" w:eastAsia="Calibri" w:hAnsi="Georgia" w:cs="Times New Roman"/>
        </w:rPr>
        <w:t xml:space="preserve">.  The estimates included in the Proposal do not reflect the cotton industry’s </w:t>
      </w:r>
      <w:r w:rsidR="00104B07" w:rsidRPr="003C166D">
        <w:rPr>
          <w:rFonts w:ascii="Georgia" w:eastAsia="Calibri" w:hAnsi="Georgia" w:cs="Times New Roman"/>
        </w:rPr>
        <w:t xml:space="preserve">historical </w:t>
      </w:r>
      <w:r w:rsidR="00104B07">
        <w:rPr>
          <w:rFonts w:ascii="Georgia" w:eastAsia="Calibri" w:hAnsi="Georgia" w:cs="Times New Roman"/>
        </w:rPr>
        <w:t>or</w:t>
      </w:r>
      <w:r w:rsidR="00565B9E">
        <w:rPr>
          <w:rFonts w:ascii="Georgia" w:eastAsia="Calibri" w:hAnsi="Georgia" w:cs="Times New Roman"/>
        </w:rPr>
        <w:t xml:space="preserve"> current </w:t>
      </w:r>
      <w:r w:rsidRPr="003C166D">
        <w:rPr>
          <w:rFonts w:ascii="Georgia" w:eastAsia="Calibri" w:hAnsi="Georgia" w:cs="Times New Roman"/>
        </w:rPr>
        <w:t xml:space="preserve">ability to deliver the physical commodity. </w:t>
      </w:r>
    </w:p>
    <w:p w14:paraId="1B744677" w14:textId="2C48098A" w:rsidR="00997223" w:rsidRPr="00997223" w:rsidRDefault="007957D0" w:rsidP="003C166D">
      <w:pPr>
        <w:pStyle w:val="ListParagraph"/>
        <w:numPr>
          <w:ilvl w:val="1"/>
          <w:numId w:val="2"/>
        </w:numPr>
        <w:spacing w:after="200" w:line="276" w:lineRule="auto"/>
        <w:jc w:val="both"/>
        <w:rPr>
          <w:rFonts w:ascii="Georgia" w:eastAsia="Calibri" w:hAnsi="Georgia" w:cs="Times New Roman"/>
          <w:u w:val="single"/>
        </w:rPr>
      </w:pPr>
      <w:r w:rsidRPr="003C166D">
        <w:rPr>
          <w:rFonts w:ascii="Georgia" w:eastAsia="Calibri" w:hAnsi="Georgia" w:cs="Times New Roman"/>
        </w:rPr>
        <w:t>Federal Limits</w:t>
      </w:r>
    </w:p>
    <w:p w14:paraId="78C11F45" w14:textId="5B79BE43" w:rsidR="00997223" w:rsidRDefault="00997223" w:rsidP="003C166D">
      <w:pPr>
        <w:spacing w:after="200" w:line="276" w:lineRule="auto"/>
        <w:contextualSpacing/>
        <w:jc w:val="both"/>
        <w:rPr>
          <w:rFonts w:ascii="Georgia" w:eastAsia="Calibri" w:hAnsi="Georgia" w:cs="Times New Roman"/>
        </w:rPr>
      </w:pPr>
      <w:r>
        <w:rPr>
          <w:rFonts w:ascii="Georgia" w:eastAsia="Calibri" w:hAnsi="Georgia" w:cs="Times New Roman"/>
        </w:rPr>
        <w:t>We</w:t>
      </w:r>
      <w:r w:rsidRPr="00997223">
        <w:rPr>
          <w:rFonts w:ascii="Georgia" w:eastAsia="Calibri" w:hAnsi="Georgia" w:cs="Times New Roman"/>
        </w:rPr>
        <w:t xml:space="preserve"> object to the proposed federal spot-month limit increase from 300 to 1,800 CT contracts and </w:t>
      </w:r>
      <w:r w:rsidR="00565B9E">
        <w:rPr>
          <w:rFonts w:ascii="Georgia" w:eastAsia="Calibri" w:hAnsi="Georgia" w:cs="Times New Roman"/>
        </w:rPr>
        <w:t xml:space="preserve">we sincerely urge </w:t>
      </w:r>
      <w:r w:rsidRPr="00997223">
        <w:rPr>
          <w:rFonts w:ascii="Georgia" w:eastAsia="Calibri" w:hAnsi="Georgia" w:cs="Times New Roman"/>
        </w:rPr>
        <w:t xml:space="preserve">the Commission to maintain the current federal spot-month limit at 300 CT contracts.   </w:t>
      </w:r>
      <w:r w:rsidR="00565B9E">
        <w:rPr>
          <w:rFonts w:ascii="Georgia" w:eastAsia="Calibri" w:hAnsi="Georgia" w:cs="Times New Roman"/>
        </w:rPr>
        <w:t xml:space="preserve">We also respectfully </w:t>
      </w:r>
      <w:r w:rsidRPr="00997223">
        <w:rPr>
          <w:rFonts w:ascii="Georgia" w:eastAsia="Calibri" w:hAnsi="Georgia" w:cs="Times New Roman"/>
        </w:rPr>
        <w:t xml:space="preserve">disagree with the Proposal’s increase of the non-spot limits for the nine legacy agriculture products.  </w:t>
      </w:r>
      <w:r w:rsidR="00565B9E">
        <w:rPr>
          <w:rFonts w:ascii="Georgia" w:eastAsia="Calibri" w:hAnsi="Georgia" w:cs="Times New Roman"/>
        </w:rPr>
        <w:t>If</w:t>
      </w:r>
      <w:r w:rsidRPr="00997223">
        <w:rPr>
          <w:rFonts w:ascii="Georgia" w:eastAsia="Calibri" w:hAnsi="Georgia" w:cs="Times New Roman"/>
        </w:rPr>
        <w:t xml:space="preserve"> the Commission decides to increase the non-spot limits for these products, the Commission should adopt lower single-month limits to </w:t>
      </w:r>
      <w:r w:rsidR="00104B07">
        <w:rPr>
          <w:rFonts w:ascii="Georgia" w:eastAsia="Calibri" w:hAnsi="Georgia" w:cs="Times New Roman"/>
        </w:rPr>
        <w:t>prevent</w:t>
      </w:r>
      <w:r w:rsidR="00104B07" w:rsidRPr="00997223">
        <w:rPr>
          <w:rFonts w:ascii="Georgia" w:eastAsia="Calibri" w:hAnsi="Georgia" w:cs="Times New Roman"/>
        </w:rPr>
        <w:t xml:space="preserve"> </w:t>
      </w:r>
      <w:r w:rsidR="00104B07">
        <w:rPr>
          <w:rFonts w:ascii="Georgia" w:eastAsia="Calibri" w:hAnsi="Georgia" w:cs="Times New Roman"/>
        </w:rPr>
        <w:t>speculative</w:t>
      </w:r>
      <w:r w:rsidRPr="00997223">
        <w:rPr>
          <w:rFonts w:ascii="Georgia" w:eastAsia="Calibri" w:hAnsi="Georgia" w:cs="Times New Roman"/>
        </w:rPr>
        <w:t xml:space="preserve"> activity from concentrating in a single contract month</w:t>
      </w:r>
      <w:r w:rsidR="00565B9E">
        <w:rPr>
          <w:rFonts w:ascii="Georgia" w:eastAsia="Calibri" w:hAnsi="Georgia" w:cs="Times New Roman"/>
        </w:rPr>
        <w:t xml:space="preserve"> </w:t>
      </w:r>
      <w:r w:rsidRPr="00997223">
        <w:rPr>
          <w:rFonts w:ascii="Georgia" w:eastAsia="Calibri" w:hAnsi="Georgia" w:cs="Times New Roman"/>
        </w:rPr>
        <w:t>which would jeopardize convergence.</w:t>
      </w:r>
    </w:p>
    <w:p w14:paraId="21D54AB8" w14:textId="77777777" w:rsidR="003C166D" w:rsidRPr="003C166D" w:rsidRDefault="007957D0" w:rsidP="003C166D">
      <w:pPr>
        <w:pStyle w:val="ListParagraph"/>
        <w:numPr>
          <w:ilvl w:val="1"/>
          <w:numId w:val="2"/>
        </w:numPr>
        <w:spacing w:after="200" w:line="276" w:lineRule="auto"/>
        <w:jc w:val="both"/>
        <w:rPr>
          <w:rFonts w:ascii="Georgia" w:eastAsia="Calibri" w:hAnsi="Georgia" w:cs="Times New Roman"/>
          <w:u w:val="single"/>
        </w:rPr>
      </w:pPr>
      <w:r w:rsidRPr="003C166D">
        <w:rPr>
          <w:rFonts w:ascii="Georgia" w:eastAsia="Calibri" w:hAnsi="Georgia" w:cs="Times New Roman"/>
        </w:rPr>
        <w:t xml:space="preserve">Exchange-Set Position Limits </w:t>
      </w:r>
    </w:p>
    <w:p w14:paraId="489E2C6B" w14:textId="5D584335" w:rsidR="007957D0" w:rsidRPr="003C166D" w:rsidRDefault="00565B9E" w:rsidP="003C166D">
      <w:pPr>
        <w:spacing w:after="200" w:line="276" w:lineRule="auto"/>
        <w:jc w:val="both"/>
        <w:rPr>
          <w:rFonts w:ascii="Georgia" w:eastAsia="Calibri" w:hAnsi="Georgia" w:cs="Times New Roman"/>
          <w:u w:val="single"/>
        </w:rPr>
      </w:pPr>
      <w:r>
        <w:rPr>
          <w:rFonts w:ascii="Georgia" w:eastAsia="Calibri" w:hAnsi="Georgia" w:cs="Times New Roman"/>
        </w:rPr>
        <w:t xml:space="preserve">As is the case with all agricultural commodity contracts </w:t>
      </w:r>
      <w:r w:rsidR="007957D0" w:rsidRPr="003C166D">
        <w:rPr>
          <w:rFonts w:ascii="Georgia" w:eastAsia="Calibri" w:hAnsi="Georgia" w:cs="Times New Roman"/>
        </w:rPr>
        <w:t>liquidity is necessary for the CT contract to</w:t>
      </w:r>
      <w:r>
        <w:rPr>
          <w:rFonts w:ascii="Georgia" w:eastAsia="Calibri" w:hAnsi="Georgia" w:cs="Times New Roman"/>
        </w:rPr>
        <w:t xml:space="preserve"> succeed. The CT contract plays an indisp</w:t>
      </w:r>
      <w:r w:rsidR="00104B07">
        <w:rPr>
          <w:rFonts w:ascii="Georgia" w:eastAsia="Calibri" w:hAnsi="Georgia" w:cs="Times New Roman"/>
        </w:rPr>
        <w:t>e</w:t>
      </w:r>
      <w:r>
        <w:rPr>
          <w:rFonts w:ascii="Georgia" w:eastAsia="Calibri" w:hAnsi="Georgia" w:cs="Times New Roman"/>
        </w:rPr>
        <w:t>nsable role in i</w:t>
      </w:r>
      <w:r w:rsidR="007957D0" w:rsidRPr="003C166D">
        <w:rPr>
          <w:rFonts w:ascii="Georgia" w:eastAsia="Calibri" w:hAnsi="Georgia" w:cs="Times New Roman"/>
        </w:rPr>
        <w:t>n the global cotton ecosystem</w:t>
      </w:r>
      <w:r>
        <w:rPr>
          <w:rFonts w:ascii="Georgia" w:eastAsia="Calibri" w:hAnsi="Georgia" w:cs="Times New Roman"/>
        </w:rPr>
        <w:t xml:space="preserve"> and it is needed </w:t>
      </w:r>
      <w:r w:rsidR="00104B07">
        <w:rPr>
          <w:rFonts w:ascii="Georgia" w:eastAsia="Calibri" w:hAnsi="Georgia" w:cs="Times New Roman"/>
        </w:rPr>
        <w:t>to provide</w:t>
      </w:r>
      <w:r>
        <w:rPr>
          <w:rFonts w:ascii="Georgia" w:eastAsia="Calibri" w:hAnsi="Georgia" w:cs="Times New Roman"/>
        </w:rPr>
        <w:t xml:space="preserve"> price discovery for all market </w:t>
      </w:r>
      <w:r w:rsidR="00104B07">
        <w:rPr>
          <w:rFonts w:ascii="Georgia" w:eastAsia="Calibri" w:hAnsi="Georgia" w:cs="Times New Roman"/>
        </w:rPr>
        <w:t>participants.</w:t>
      </w:r>
      <w:r w:rsidR="007957D0" w:rsidRPr="003C166D">
        <w:rPr>
          <w:rFonts w:ascii="Georgia" w:eastAsia="Calibri" w:hAnsi="Georgia" w:cs="Times New Roman"/>
        </w:rPr>
        <w:t xml:space="preserve">  These factors should be taken into consideration before a revised exchange-set limit is established for the CT contract.</w:t>
      </w:r>
    </w:p>
    <w:p w14:paraId="51057E58" w14:textId="77777777" w:rsidR="003C166D" w:rsidRPr="003C166D" w:rsidRDefault="007957D0" w:rsidP="003C166D">
      <w:pPr>
        <w:pStyle w:val="ListParagraph"/>
        <w:numPr>
          <w:ilvl w:val="1"/>
          <w:numId w:val="2"/>
        </w:numPr>
        <w:spacing w:after="200" w:line="276" w:lineRule="auto"/>
        <w:jc w:val="both"/>
        <w:rPr>
          <w:rFonts w:ascii="Georgia" w:eastAsia="Calibri" w:hAnsi="Georgia" w:cs="Times New Roman"/>
          <w:u w:val="single"/>
        </w:rPr>
      </w:pPr>
      <w:r w:rsidRPr="003C166D">
        <w:rPr>
          <w:rFonts w:ascii="Georgia" w:eastAsia="Calibri" w:hAnsi="Georgia" w:cs="Times New Roman"/>
        </w:rPr>
        <w:lastRenderedPageBreak/>
        <w:t>Form 304</w:t>
      </w:r>
    </w:p>
    <w:p w14:paraId="771AE42D" w14:textId="137860BD" w:rsidR="007957D0" w:rsidRDefault="003C166D" w:rsidP="003C166D">
      <w:pPr>
        <w:spacing w:after="200" w:line="276" w:lineRule="auto"/>
        <w:jc w:val="both"/>
        <w:rPr>
          <w:rFonts w:ascii="Georgia" w:eastAsia="Calibri" w:hAnsi="Georgia" w:cs="Times New Roman"/>
        </w:rPr>
      </w:pPr>
      <w:r>
        <w:rPr>
          <w:rFonts w:ascii="Georgia" w:eastAsia="Calibri" w:hAnsi="Georgia" w:cs="Times New Roman"/>
        </w:rPr>
        <w:t xml:space="preserve">We </w:t>
      </w:r>
      <w:r w:rsidR="007957D0" w:rsidRPr="003C166D">
        <w:rPr>
          <w:rFonts w:ascii="Georgia" w:eastAsia="Calibri" w:hAnsi="Georgia" w:cs="Times New Roman"/>
        </w:rPr>
        <w:t xml:space="preserve">support the elimination of Form 204 and the proposed changes to Form 304; however, the Commission should go further with its plan regarding Form 304 and either: (1) eliminate Form 304 completely; or (2) if it has compelling reasons to continue collecting Form 304 data, stop publishing the data for public dissemination.  </w:t>
      </w:r>
    </w:p>
    <w:p w14:paraId="0C24010A" w14:textId="319457DD" w:rsidR="003C166D" w:rsidRDefault="003C166D" w:rsidP="003C166D">
      <w:pPr>
        <w:pStyle w:val="ListParagraph"/>
        <w:numPr>
          <w:ilvl w:val="0"/>
          <w:numId w:val="2"/>
        </w:numPr>
        <w:spacing w:after="200" w:line="276" w:lineRule="auto"/>
        <w:jc w:val="both"/>
        <w:rPr>
          <w:rFonts w:ascii="Georgia" w:eastAsia="Calibri" w:hAnsi="Georgia" w:cs="Times New Roman"/>
        </w:rPr>
      </w:pPr>
      <w:r w:rsidRPr="003C166D">
        <w:rPr>
          <w:rFonts w:ascii="Georgia" w:eastAsia="Calibri" w:hAnsi="Georgia" w:cs="Times New Roman"/>
        </w:rPr>
        <w:t>Conclusion</w:t>
      </w:r>
    </w:p>
    <w:p w14:paraId="22FB94C6" w14:textId="75F5D552" w:rsidR="003C166D" w:rsidRDefault="003C166D" w:rsidP="003C166D">
      <w:pPr>
        <w:spacing w:after="200" w:line="276" w:lineRule="auto"/>
        <w:jc w:val="both"/>
        <w:rPr>
          <w:rFonts w:ascii="Georgia" w:eastAsia="Calibri" w:hAnsi="Georgia" w:cs="Times New Roman"/>
        </w:rPr>
      </w:pPr>
      <w:r>
        <w:rPr>
          <w:rFonts w:ascii="Georgia" w:eastAsia="Calibri" w:hAnsi="Georgia" w:cs="Times New Roman"/>
        </w:rPr>
        <w:t xml:space="preserve">Thank you for the opportunity to provide comments on the Proposal.  </w:t>
      </w:r>
      <w:r w:rsidR="00104B07">
        <w:rPr>
          <w:rFonts w:ascii="Georgia" w:eastAsia="Calibri" w:hAnsi="Georgia" w:cs="Times New Roman"/>
        </w:rPr>
        <w:t xml:space="preserve"> As a past member of the CFTC Agricultural Advisory Committee and Past Chairman of ACSA I have tremendous respect and appreciation for what the CFTC does for our industry. </w:t>
      </w:r>
      <w:r>
        <w:rPr>
          <w:rFonts w:ascii="Georgia" w:eastAsia="Calibri" w:hAnsi="Georgia" w:cs="Times New Roman"/>
        </w:rPr>
        <w:t xml:space="preserve">If you have any questions or concerns, please do not hesitate to contact me </w:t>
      </w:r>
      <w:r w:rsidR="00565B9E">
        <w:rPr>
          <w:rFonts w:ascii="Georgia" w:eastAsia="Calibri" w:hAnsi="Georgia" w:cs="Times New Roman"/>
        </w:rPr>
        <w:t>at Cotton@Decaint.com</w:t>
      </w:r>
      <w:r>
        <w:rPr>
          <w:rFonts w:ascii="Georgia" w:eastAsia="Calibri" w:hAnsi="Georgia" w:cs="Times New Roman"/>
        </w:rPr>
        <w:t>.</w:t>
      </w:r>
    </w:p>
    <w:p w14:paraId="1F65C8B1" w14:textId="1ED0EE5E" w:rsidR="003C166D" w:rsidRDefault="003C166D" w:rsidP="003C166D">
      <w:pPr>
        <w:spacing w:after="200" w:line="276" w:lineRule="auto"/>
        <w:jc w:val="both"/>
        <w:rPr>
          <w:rFonts w:ascii="Georgia" w:eastAsia="Calibri" w:hAnsi="Georgia" w:cs="Times New Roman"/>
        </w:rPr>
      </w:pPr>
    </w:p>
    <w:p w14:paraId="50554B3D" w14:textId="73343AC0" w:rsidR="003C166D" w:rsidRDefault="003C166D" w:rsidP="003C166D">
      <w:pPr>
        <w:spacing w:after="200" w:line="276" w:lineRule="auto"/>
        <w:jc w:val="both"/>
        <w:rPr>
          <w:rFonts w:ascii="Georgia" w:eastAsia="Calibri" w:hAnsi="Georgia" w:cs="Times New Roman"/>
        </w:rPr>
      </w:pPr>
    </w:p>
    <w:p w14:paraId="35BEBE8D" w14:textId="73059988" w:rsidR="003C166D" w:rsidRDefault="003C166D" w:rsidP="003C166D">
      <w:pPr>
        <w:spacing w:after="200" w:line="276" w:lineRule="auto"/>
        <w:jc w:val="both"/>
        <w:rPr>
          <w:rFonts w:ascii="Georgia" w:eastAsia="Calibri" w:hAnsi="Georgia" w:cs="Times New Roman"/>
        </w:rPr>
      </w:pPr>
      <w:r>
        <w:rPr>
          <w:rFonts w:ascii="Georgia" w:eastAsia="Calibri" w:hAnsi="Georgia" w:cs="Times New Roman"/>
        </w:rPr>
        <w:t>Sincerely,</w:t>
      </w:r>
    </w:p>
    <w:p w14:paraId="38DFE23B" w14:textId="77777777" w:rsidR="00104B07" w:rsidRDefault="00104B07" w:rsidP="003C166D">
      <w:pPr>
        <w:spacing w:after="200" w:line="276" w:lineRule="auto"/>
        <w:jc w:val="both"/>
        <w:rPr>
          <w:rFonts w:ascii="Georgia" w:eastAsia="Calibri" w:hAnsi="Georgia" w:cs="Times New Roman"/>
        </w:rPr>
      </w:pPr>
    </w:p>
    <w:p w14:paraId="6AB155A3" w14:textId="1B9DDDAD" w:rsidR="003C166D" w:rsidRDefault="00104B07" w:rsidP="003C166D">
      <w:pPr>
        <w:spacing w:line="276" w:lineRule="auto"/>
        <w:jc w:val="both"/>
        <w:rPr>
          <w:rFonts w:ascii="Georgia" w:eastAsia="Calibri" w:hAnsi="Georgia" w:cs="Times New Roman"/>
        </w:rPr>
      </w:pPr>
      <w:r>
        <w:rPr>
          <w:rFonts w:ascii="Georgia" w:eastAsia="Calibri" w:hAnsi="Georgia" w:cs="Times New Roman"/>
        </w:rPr>
        <w:t xml:space="preserve">Jordan Lea </w:t>
      </w:r>
    </w:p>
    <w:p w14:paraId="124DE727" w14:textId="68752E53" w:rsidR="00104B07" w:rsidRDefault="00104B07" w:rsidP="003C166D">
      <w:pPr>
        <w:spacing w:line="276" w:lineRule="auto"/>
        <w:jc w:val="both"/>
        <w:rPr>
          <w:rFonts w:ascii="Georgia" w:eastAsia="Calibri" w:hAnsi="Georgia" w:cs="Times New Roman"/>
        </w:rPr>
      </w:pPr>
      <w:r>
        <w:rPr>
          <w:rFonts w:ascii="Georgia" w:eastAsia="Calibri" w:hAnsi="Georgia" w:cs="Times New Roman"/>
        </w:rPr>
        <w:t>Senior Trader</w:t>
      </w:r>
    </w:p>
    <w:p w14:paraId="727F0AC7" w14:textId="6CBC26BC" w:rsidR="00104B07" w:rsidRPr="00104B07" w:rsidRDefault="00104B07" w:rsidP="003C166D">
      <w:pPr>
        <w:spacing w:line="276" w:lineRule="auto"/>
        <w:jc w:val="both"/>
        <w:rPr>
          <w:rFonts w:ascii="Georgia" w:eastAsia="Calibri" w:hAnsi="Georgia" w:cs="Times New Roman"/>
          <w:highlight w:val="yellow"/>
        </w:rPr>
      </w:pPr>
      <w:r>
        <w:rPr>
          <w:rFonts w:ascii="Georgia" w:eastAsia="Calibri" w:hAnsi="Georgia" w:cs="Times New Roman"/>
        </w:rPr>
        <w:t>DECA Global LLC</w:t>
      </w:r>
    </w:p>
    <w:p w14:paraId="12AAA768" w14:textId="77777777" w:rsidR="00734DCD" w:rsidRDefault="00E02E5A"/>
    <w:sectPr w:rsidR="00734DCD" w:rsidSect="00AA2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1799F"/>
    <w:multiLevelType w:val="hybridMultilevel"/>
    <w:tmpl w:val="B91CE826"/>
    <w:lvl w:ilvl="0" w:tplc="520278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231344"/>
    <w:multiLevelType w:val="hybridMultilevel"/>
    <w:tmpl w:val="A412C1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19D5388"/>
    <w:multiLevelType w:val="hybridMultilevel"/>
    <w:tmpl w:val="9D680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D0"/>
    <w:rsid w:val="00104B07"/>
    <w:rsid w:val="001A11F4"/>
    <w:rsid w:val="001E3B0D"/>
    <w:rsid w:val="00257879"/>
    <w:rsid w:val="003C166D"/>
    <w:rsid w:val="00565B9E"/>
    <w:rsid w:val="00593316"/>
    <w:rsid w:val="005E63AE"/>
    <w:rsid w:val="006111CE"/>
    <w:rsid w:val="007957D0"/>
    <w:rsid w:val="007A0697"/>
    <w:rsid w:val="0088310B"/>
    <w:rsid w:val="00997223"/>
    <w:rsid w:val="00AA25AD"/>
    <w:rsid w:val="00E0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CCA8"/>
  <w14:defaultImageDpi w14:val="32767"/>
  <w15:chartTrackingRefBased/>
  <w15:docId w15:val="{06AB0B94-B8B4-364C-8DD0-6CCD310F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5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7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7D0"/>
    <w:rPr>
      <w:rFonts w:ascii="Times New Roman" w:hAnsi="Times New Roman" w:cs="Times New Roman"/>
      <w:sz w:val="18"/>
      <w:szCs w:val="18"/>
    </w:rPr>
  </w:style>
  <w:style w:type="paragraph" w:styleId="ListParagraph">
    <w:name w:val="List Paragraph"/>
    <w:basedOn w:val="Normal"/>
    <w:uiPriority w:val="34"/>
    <w:qFormat/>
    <w:rsid w:val="00795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Austin</dc:creator>
  <cp:keywords/>
  <dc:description/>
  <cp:lastModifiedBy>Jordon</cp:lastModifiedBy>
  <cp:revision>3</cp:revision>
  <dcterms:created xsi:type="dcterms:W3CDTF">2020-05-15T19:27:00Z</dcterms:created>
  <dcterms:modified xsi:type="dcterms:W3CDTF">2020-05-15T19:28:00Z</dcterms:modified>
</cp:coreProperties>
</file>