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285ED" w14:textId="77777777" w:rsidR="00334C34" w:rsidRPr="00402A1D" w:rsidRDefault="00334C34" w:rsidP="00334C34">
      <w:pPr>
        <w:rPr>
          <w:rFonts w:ascii="Times New Roman" w:hAnsi="Times New Roman"/>
          <w:color w:val="000000"/>
          <w:szCs w:val="24"/>
        </w:rPr>
      </w:pPr>
      <w:r>
        <w:rPr>
          <w:rFonts w:ascii="Times New Roman" w:hAnsi="Times New Roman"/>
          <w:color w:val="000000"/>
          <w:szCs w:val="24"/>
        </w:rPr>
        <w:t xml:space="preserve">August </w:t>
      </w:r>
      <w:r w:rsidR="00F81EEA" w:rsidRPr="00CB4837">
        <w:rPr>
          <w:rFonts w:ascii="Times New Roman" w:hAnsi="Times New Roman"/>
          <w:color w:val="000000"/>
          <w:szCs w:val="24"/>
        </w:rPr>
        <w:t>21</w:t>
      </w:r>
      <w:r w:rsidR="00F81EEA">
        <w:rPr>
          <w:rFonts w:ascii="Times New Roman" w:hAnsi="Times New Roman"/>
          <w:color w:val="000000"/>
          <w:szCs w:val="24"/>
        </w:rPr>
        <w:t>,</w:t>
      </w:r>
      <w:r w:rsidRPr="00402A1D">
        <w:rPr>
          <w:rFonts w:ascii="Times New Roman" w:hAnsi="Times New Roman"/>
          <w:color w:val="000000"/>
          <w:szCs w:val="24"/>
        </w:rPr>
        <w:t xml:space="preserve"> 2017</w:t>
      </w:r>
    </w:p>
    <w:p w14:paraId="47C8B827" w14:textId="77777777" w:rsidR="00334C34" w:rsidRPr="00402A1D" w:rsidRDefault="00334C34" w:rsidP="00334C34">
      <w:pPr>
        <w:rPr>
          <w:rFonts w:ascii="Times New Roman" w:hAnsi="Times New Roman"/>
          <w:color w:val="000000"/>
          <w:szCs w:val="24"/>
        </w:rPr>
      </w:pPr>
    </w:p>
    <w:p w14:paraId="7A4D8EF3" w14:textId="77777777" w:rsidR="00334C34" w:rsidRPr="00402A1D" w:rsidRDefault="00334C34" w:rsidP="00334C34">
      <w:pPr>
        <w:tabs>
          <w:tab w:val="left" w:pos="720"/>
          <w:tab w:val="left" w:pos="1440"/>
          <w:tab w:val="left" w:pos="2160"/>
          <w:tab w:val="left" w:pos="2880"/>
          <w:tab w:val="left" w:pos="5322"/>
        </w:tabs>
        <w:spacing w:line="240" w:lineRule="exact"/>
        <w:rPr>
          <w:rFonts w:ascii="Times New Roman" w:eastAsia="Times New Roman" w:hAnsi="Times New Roman"/>
          <w:b/>
          <w:color w:val="000000"/>
          <w:sz w:val="22"/>
          <w:szCs w:val="22"/>
          <w:u w:val="single"/>
        </w:rPr>
      </w:pPr>
      <w:r w:rsidRPr="00402A1D">
        <w:rPr>
          <w:rFonts w:ascii="Times New Roman" w:eastAsia="Times New Roman" w:hAnsi="Times New Roman"/>
          <w:b/>
          <w:color w:val="000000"/>
          <w:sz w:val="22"/>
          <w:szCs w:val="22"/>
          <w:u w:val="single"/>
        </w:rPr>
        <w:t>Via Electronic Submission</w:t>
      </w:r>
    </w:p>
    <w:p w14:paraId="0C71F7DE" w14:textId="77777777" w:rsidR="00334C34" w:rsidRPr="00402A1D" w:rsidRDefault="00334C34" w:rsidP="00334C34">
      <w:pPr>
        <w:rPr>
          <w:rFonts w:ascii="Times New Roman" w:hAnsi="Times New Roman"/>
          <w:color w:val="000000"/>
          <w:szCs w:val="24"/>
        </w:rPr>
      </w:pPr>
    </w:p>
    <w:p w14:paraId="0B3EAF3B" w14:textId="77777777" w:rsidR="00334C34" w:rsidRPr="00402A1D" w:rsidRDefault="00334C34" w:rsidP="00334C34">
      <w:pPr>
        <w:rPr>
          <w:rFonts w:ascii="Times New Roman" w:hAnsi="Times New Roman"/>
          <w:color w:val="000000"/>
          <w:szCs w:val="24"/>
        </w:rPr>
      </w:pPr>
      <w:r w:rsidRPr="00402A1D">
        <w:rPr>
          <w:rFonts w:ascii="Times New Roman" w:hAnsi="Times New Roman"/>
          <w:color w:val="000000"/>
          <w:szCs w:val="24"/>
        </w:rPr>
        <w:t>Mr. Christopher Kirkpatrick</w:t>
      </w:r>
    </w:p>
    <w:p w14:paraId="7ED52B05" w14:textId="77777777" w:rsidR="00334C34" w:rsidRPr="00402A1D" w:rsidRDefault="00334C34" w:rsidP="00334C34">
      <w:pPr>
        <w:rPr>
          <w:rFonts w:ascii="Times New Roman" w:hAnsi="Times New Roman"/>
          <w:color w:val="000000"/>
          <w:szCs w:val="24"/>
        </w:rPr>
      </w:pPr>
      <w:r w:rsidRPr="00402A1D">
        <w:rPr>
          <w:rFonts w:ascii="Times New Roman" w:hAnsi="Times New Roman"/>
          <w:color w:val="000000"/>
          <w:szCs w:val="24"/>
        </w:rPr>
        <w:t>Secretary of the Commission</w:t>
      </w:r>
    </w:p>
    <w:p w14:paraId="52E04EAF" w14:textId="77777777" w:rsidR="00334C34" w:rsidRPr="00402A1D" w:rsidRDefault="00334C34" w:rsidP="00334C34">
      <w:pPr>
        <w:rPr>
          <w:rFonts w:ascii="Times New Roman" w:hAnsi="Times New Roman"/>
          <w:color w:val="000000"/>
          <w:szCs w:val="24"/>
        </w:rPr>
      </w:pPr>
      <w:r w:rsidRPr="00402A1D">
        <w:rPr>
          <w:rFonts w:ascii="Times New Roman" w:hAnsi="Times New Roman"/>
          <w:color w:val="000000"/>
          <w:szCs w:val="24"/>
        </w:rPr>
        <w:t xml:space="preserve">Commodity Futures Trading Commission </w:t>
      </w:r>
    </w:p>
    <w:p w14:paraId="023770C3" w14:textId="77777777" w:rsidR="00334C34" w:rsidRPr="00402A1D" w:rsidRDefault="00334C34" w:rsidP="00334C34">
      <w:pPr>
        <w:rPr>
          <w:rFonts w:ascii="Times New Roman" w:hAnsi="Times New Roman"/>
          <w:color w:val="000000"/>
          <w:szCs w:val="24"/>
        </w:rPr>
      </w:pPr>
      <w:r w:rsidRPr="00402A1D">
        <w:rPr>
          <w:rFonts w:ascii="Times New Roman" w:hAnsi="Times New Roman"/>
          <w:color w:val="000000"/>
          <w:szCs w:val="24"/>
        </w:rPr>
        <w:t>Three Lafayette Centre</w:t>
      </w:r>
    </w:p>
    <w:p w14:paraId="23ED8C82" w14:textId="77777777" w:rsidR="00334C34" w:rsidRPr="00402A1D" w:rsidRDefault="00334C34" w:rsidP="00334C34">
      <w:pPr>
        <w:rPr>
          <w:rFonts w:ascii="Times New Roman" w:hAnsi="Times New Roman"/>
          <w:color w:val="000000"/>
          <w:szCs w:val="24"/>
        </w:rPr>
      </w:pPr>
      <w:r w:rsidRPr="00402A1D">
        <w:rPr>
          <w:rFonts w:ascii="Times New Roman" w:hAnsi="Times New Roman"/>
          <w:color w:val="000000"/>
          <w:szCs w:val="24"/>
        </w:rPr>
        <w:t>1155 21</w:t>
      </w:r>
      <w:r w:rsidRPr="00402A1D">
        <w:rPr>
          <w:rFonts w:ascii="Times New Roman" w:hAnsi="Times New Roman"/>
          <w:color w:val="000000"/>
          <w:szCs w:val="24"/>
          <w:vertAlign w:val="superscript"/>
        </w:rPr>
        <w:t>st</w:t>
      </w:r>
      <w:r w:rsidRPr="00402A1D">
        <w:rPr>
          <w:rFonts w:ascii="Times New Roman" w:hAnsi="Times New Roman"/>
          <w:color w:val="000000"/>
          <w:szCs w:val="24"/>
        </w:rPr>
        <w:t xml:space="preserve"> Street, NW</w:t>
      </w:r>
    </w:p>
    <w:p w14:paraId="6B341C63" w14:textId="77777777" w:rsidR="00334C34" w:rsidRPr="00402A1D" w:rsidRDefault="00334C34" w:rsidP="00334C34">
      <w:pPr>
        <w:rPr>
          <w:rFonts w:ascii="Times New Roman" w:hAnsi="Times New Roman"/>
          <w:color w:val="000000"/>
          <w:szCs w:val="24"/>
        </w:rPr>
      </w:pPr>
      <w:r w:rsidRPr="00402A1D">
        <w:rPr>
          <w:rFonts w:ascii="Times New Roman" w:hAnsi="Times New Roman"/>
          <w:color w:val="000000"/>
          <w:szCs w:val="24"/>
        </w:rPr>
        <w:t>Washington, D.C. 20581</w:t>
      </w:r>
    </w:p>
    <w:p w14:paraId="4931E58B" w14:textId="77777777" w:rsidR="00334C34" w:rsidRPr="00402A1D" w:rsidRDefault="00334C34" w:rsidP="00334C34">
      <w:pPr>
        <w:rPr>
          <w:rFonts w:ascii="Times New Roman" w:hAnsi="Times New Roman"/>
          <w:color w:val="000000"/>
          <w:szCs w:val="24"/>
          <w:highlight w:val="yellow"/>
        </w:rPr>
      </w:pPr>
    </w:p>
    <w:p w14:paraId="1A3FEEC6" w14:textId="77777777" w:rsidR="00334C34" w:rsidRPr="00402A1D" w:rsidRDefault="00334C34" w:rsidP="00334C34">
      <w:pPr>
        <w:ind w:left="1440" w:hanging="720"/>
        <w:rPr>
          <w:rFonts w:ascii="Times New Roman" w:hAnsi="Times New Roman"/>
          <w:color w:val="000000"/>
          <w:szCs w:val="24"/>
          <w:u w:val="single"/>
        </w:rPr>
      </w:pPr>
      <w:r w:rsidRPr="00402A1D">
        <w:rPr>
          <w:rFonts w:ascii="Times New Roman" w:hAnsi="Times New Roman"/>
          <w:color w:val="000000"/>
          <w:szCs w:val="24"/>
        </w:rPr>
        <w:t>Re:</w:t>
      </w:r>
      <w:r w:rsidRPr="00402A1D">
        <w:rPr>
          <w:rFonts w:ascii="Times New Roman" w:hAnsi="Times New Roman"/>
          <w:color w:val="000000"/>
          <w:szCs w:val="24"/>
        </w:rPr>
        <w:tab/>
      </w:r>
      <w:r w:rsidR="00AD15A5">
        <w:rPr>
          <w:rFonts w:ascii="Times New Roman" w:hAnsi="Times New Roman"/>
          <w:color w:val="000000"/>
          <w:szCs w:val="24"/>
        </w:rPr>
        <w:t>Division of Market Oversight Review of Swap Reporting Rules in Parts 43, 45, and 49 of Commission Regulations</w:t>
      </w:r>
    </w:p>
    <w:p w14:paraId="21B7DD46" w14:textId="77777777" w:rsidR="00334C34" w:rsidRPr="00402A1D" w:rsidRDefault="00334C34" w:rsidP="00334C34">
      <w:pPr>
        <w:ind w:left="720" w:hanging="720"/>
        <w:rPr>
          <w:rFonts w:ascii="Times New Roman" w:hAnsi="Times New Roman"/>
          <w:color w:val="000000"/>
          <w:szCs w:val="24"/>
        </w:rPr>
      </w:pPr>
    </w:p>
    <w:p w14:paraId="25B09AE0" w14:textId="77777777" w:rsidR="00334C34" w:rsidRPr="00402A1D" w:rsidRDefault="00334C34" w:rsidP="00334C34">
      <w:pPr>
        <w:rPr>
          <w:rFonts w:ascii="Times New Roman" w:hAnsi="Times New Roman"/>
          <w:color w:val="000000"/>
          <w:szCs w:val="24"/>
        </w:rPr>
      </w:pPr>
      <w:r w:rsidRPr="00402A1D">
        <w:rPr>
          <w:rFonts w:ascii="Times New Roman" w:hAnsi="Times New Roman"/>
          <w:color w:val="000000"/>
          <w:szCs w:val="24"/>
        </w:rPr>
        <w:t>Dear Mr. Kirkpatrick,</w:t>
      </w:r>
    </w:p>
    <w:p w14:paraId="0332520E" w14:textId="4044B245" w:rsidR="00334C34" w:rsidRPr="00402A1D" w:rsidRDefault="002E5E7B" w:rsidP="00EB2BAF">
      <w:pPr>
        <w:tabs>
          <w:tab w:val="left" w:pos="8400"/>
        </w:tabs>
        <w:rPr>
          <w:rFonts w:ascii="Times New Roman" w:hAnsi="Times New Roman"/>
          <w:color w:val="000000"/>
          <w:szCs w:val="24"/>
        </w:rPr>
      </w:pPr>
      <w:r>
        <w:rPr>
          <w:rFonts w:ascii="Times New Roman" w:hAnsi="Times New Roman"/>
          <w:color w:val="000000"/>
          <w:szCs w:val="24"/>
        </w:rPr>
        <w:tab/>
      </w:r>
    </w:p>
    <w:p w14:paraId="3C828BEC" w14:textId="11CA329E" w:rsidR="00334C34" w:rsidRPr="00402A1D" w:rsidRDefault="00334C34" w:rsidP="00334C34">
      <w:pPr>
        <w:autoSpaceDE w:val="0"/>
        <w:autoSpaceDN w:val="0"/>
        <w:adjustRightInd w:val="0"/>
        <w:rPr>
          <w:rFonts w:ascii="Times New Roman" w:hAnsi="Times New Roman"/>
          <w:color w:val="000000"/>
          <w:szCs w:val="24"/>
        </w:rPr>
      </w:pPr>
      <w:r w:rsidRPr="00CB4837">
        <w:rPr>
          <w:rFonts w:ascii="Times New Roman" w:hAnsi="Times New Roman"/>
          <w:color w:val="000000"/>
          <w:szCs w:val="24"/>
        </w:rPr>
        <w:t>BSDR LLC (“BSDR”),</w:t>
      </w:r>
      <w:r>
        <w:rPr>
          <w:rFonts w:ascii="Times New Roman" w:hAnsi="Times New Roman"/>
          <w:color w:val="000000"/>
          <w:szCs w:val="24"/>
        </w:rPr>
        <w:t xml:space="preserve"> </w:t>
      </w:r>
      <w:r w:rsidRPr="00402A1D">
        <w:rPr>
          <w:rFonts w:ascii="Times New Roman" w:hAnsi="Times New Roman"/>
          <w:color w:val="000000"/>
          <w:szCs w:val="24"/>
        </w:rPr>
        <w:t xml:space="preserve">Chicago Mercantile Exchange Inc. (“CME”), and ICE Trade Vault, LLC, (“ICE Trade Vault”), (collectively, the “Swap Data Repositories” or “SDRs”) appreciate the opportunity to provide comments to the Commodity Futures Trading Commission (“CFTC” or “Commission”) regarding the </w:t>
      </w:r>
      <w:r w:rsidR="00F81EEA">
        <w:rPr>
          <w:rFonts w:ascii="Times New Roman" w:hAnsi="Times New Roman"/>
          <w:color w:val="000000"/>
          <w:szCs w:val="24"/>
        </w:rPr>
        <w:t>Commission’s Roadmap to Achieve High Quality Swaps Data</w:t>
      </w:r>
      <w:r w:rsidRPr="00402A1D">
        <w:rPr>
          <w:rFonts w:ascii="Times New Roman" w:hAnsi="Times New Roman"/>
          <w:color w:val="000000"/>
          <w:szCs w:val="24"/>
        </w:rPr>
        <w:t xml:space="preserve"> (the “</w:t>
      </w:r>
      <w:r w:rsidR="00F81EEA">
        <w:rPr>
          <w:rFonts w:ascii="Times New Roman" w:hAnsi="Times New Roman"/>
          <w:color w:val="000000"/>
          <w:szCs w:val="24"/>
        </w:rPr>
        <w:t>Roadmap</w:t>
      </w:r>
      <w:r w:rsidRPr="00402A1D">
        <w:rPr>
          <w:rFonts w:ascii="Times New Roman" w:hAnsi="Times New Roman"/>
          <w:color w:val="000000"/>
          <w:szCs w:val="24"/>
        </w:rPr>
        <w:t>”)</w:t>
      </w:r>
      <w:r w:rsidRPr="00402A1D">
        <w:rPr>
          <w:rStyle w:val="FootnoteReference"/>
          <w:rFonts w:ascii="Times New Roman" w:hAnsi="Times New Roman"/>
          <w:color w:val="000000"/>
          <w:szCs w:val="24"/>
        </w:rPr>
        <w:footnoteReference w:id="2"/>
      </w:r>
      <w:r w:rsidR="00E1163F">
        <w:rPr>
          <w:rFonts w:ascii="Times New Roman" w:hAnsi="Times New Roman"/>
          <w:color w:val="000000"/>
          <w:szCs w:val="24"/>
        </w:rPr>
        <w:t>.</w:t>
      </w:r>
      <w:r w:rsidRPr="00402A1D">
        <w:rPr>
          <w:rFonts w:ascii="Times New Roman" w:hAnsi="Times New Roman"/>
          <w:color w:val="000000"/>
          <w:szCs w:val="24"/>
        </w:rPr>
        <w:t xml:space="preserve">  </w:t>
      </w:r>
    </w:p>
    <w:p w14:paraId="773EB659" w14:textId="77777777" w:rsidR="00334C34" w:rsidRPr="00402A1D" w:rsidRDefault="00334C34" w:rsidP="00334C34">
      <w:pPr>
        <w:autoSpaceDE w:val="0"/>
        <w:autoSpaceDN w:val="0"/>
        <w:adjustRightInd w:val="0"/>
        <w:ind w:firstLine="360"/>
        <w:rPr>
          <w:rFonts w:ascii="Times New Roman" w:hAnsi="Times New Roman"/>
          <w:color w:val="000000"/>
          <w:szCs w:val="24"/>
        </w:rPr>
      </w:pPr>
    </w:p>
    <w:p w14:paraId="3BE66E77" w14:textId="53AA7409" w:rsidR="00334C34" w:rsidRPr="00402A1D" w:rsidRDefault="00334C34" w:rsidP="00334C34">
      <w:pPr>
        <w:autoSpaceDE w:val="0"/>
        <w:autoSpaceDN w:val="0"/>
        <w:adjustRightInd w:val="0"/>
        <w:rPr>
          <w:rFonts w:ascii="Times New Roman" w:hAnsi="Times New Roman"/>
          <w:color w:val="000000"/>
          <w:szCs w:val="24"/>
        </w:rPr>
      </w:pPr>
      <w:r w:rsidRPr="00402A1D">
        <w:rPr>
          <w:rFonts w:ascii="Times New Roman" w:hAnsi="Times New Roman"/>
          <w:color w:val="000000"/>
          <w:szCs w:val="24"/>
        </w:rPr>
        <w:t xml:space="preserve">The SDRs commend the Commission for its continued focus </w:t>
      </w:r>
      <w:r w:rsidR="005B502E">
        <w:rPr>
          <w:rFonts w:ascii="Times New Roman" w:hAnsi="Times New Roman"/>
          <w:color w:val="000000"/>
          <w:szCs w:val="24"/>
        </w:rPr>
        <w:t xml:space="preserve">on data accuracy and the review of the reporting rules to assist the market in streamlining reporting and creating better data quality.  </w:t>
      </w:r>
      <w:r w:rsidR="00C10C72">
        <w:rPr>
          <w:rFonts w:ascii="Times New Roman" w:hAnsi="Times New Roman"/>
          <w:color w:val="000000"/>
          <w:szCs w:val="24"/>
        </w:rPr>
        <w:t xml:space="preserve">The </w:t>
      </w:r>
      <w:r w:rsidRPr="00402A1D">
        <w:rPr>
          <w:rFonts w:ascii="Times New Roman" w:hAnsi="Times New Roman"/>
          <w:color w:val="000000"/>
          <w:szCs w:val="24"/>
        </w:rPr>
        <w:t xml:space="preserve">SDRs </w:t>
      </w:r>
      <w:r w:rsidR="00C10C72">
        <w:rPr>
          <w:rFonts w:ascii="Times New Roman" w:hAnsi="Times New Roman"/>
          <w:color w:val="000000"/>
          <w:szCs w:val="24"/>
        </w:rPr>
        <w:t xml:space="preserve">look forward to the opportunity to </w:t>
      </w:r>
      <w:r w:rsidRPr="00402A1D">
        <w:rPr>
          <w:rFonts w:ascii="Times New Roman" w:hAnsi="Times New Roman"/>
          <w:color w:val="000000"/>
          <w:szCs w:val="24"/>
        </w:rPr>
        <w:t>coll</w:t>
      </w:r>
      <w:r w:rsidR="00C10C72">
        <w:rPr>
          <w:rFonts w:ascii="Times New Roman" w:hAnsi="Times New Roman"/>
          <w:color w:val="000000"/>
          <w:szCs w:val="24"/>
        </w:rPr>
        <w:t xml:space="preserve">aborate with the Commission to make thoughtful amendments </w:t>
      </w:r>
      <w:r w:rsidR="00354CFA">
        <w:rPr>
          <w:rFonts w:ascii="Times New Roman" w:hAnsi="Times New Roman"/>
          <w:color w:val="000000"/>
          <w:szCs w:val="24"/>
        </w:rPr>
        <w:t>that</w:t>
      </w:r>
      <w:r w:rsidR="00C10C72">
        <w:rPr>
          <w:rFonts w:ascii="Times New Roman" w:hAnsi="Times New Roman"/>
          <w:color w:val="000000"/>
          <w:szCs w:val="24"/>
        </w:rPr>
        <w:t xml:space="preserve"> will achieve the Commission’s goals while simplifying the reporting and related obligations on market participants and the SDRs.  </w:t>
      </w:r>
    </w:p>
    <w:p w14:paraId="1228A812" w14:textId="77777777" w:rsidR="00334C34" w:rsidRPr="00402A1D" w:rsidRDefault="00334C34" w:rsidP="00334C34">
      <w:pPr>
        <w:autoSpaceDE w:val="0"/>
        <w:autoSpaceDN w:val="0"/>
        <w:adjustRightInd w:val="0"/>
        <w:rPr>
          <w:rFonts w:ascii="Times New Roman" w:hAnsi="Times New Roman"/>
          <w:color w:val="000000"/>
          <w:szCs w:val="24"/>
        </w:rPr>
      </w:pPr>
    </w:p>
    <w:p w14:paraId="3CC4700A" w14:textId="77777777" w:rsidR="00334C34" w:rsidRPr="00BA4A6F" w:rsidRDefault="007C0EAC" w:rsidP="007C0EAC">
      <w:pPr>
        <w:pStyle w:val="ListParagraph"/>
        <w:numPr>
          <w:ilvl w:val="0"/>
          <w:numId w:val="6"/>
        </w:numPr>
        <w:autoSpaceDE w:val="0"/>
        <w:autoSpaceDN w:val="0"/>
        <w:adjustRightInd w:val="0"/>
        <w:rPr>
          <w:rFonts w:ascii="Times New Roman" w:hAnsi="Times New Roman"/>
          <w:b/>
          <w:color w:val="000000"/>
          <w:szCs w:val="24"/>
        </w:rPr>
      </w:pPr>
      <w:r w:rsidRPr="00BA4A6F">
        <w:rPr>
          <w:rFonts w:ascii="Times New Roman" w:hAnsi="Times New Roman"/>
          <w:b/>
          <w:color w:val="000000"/>
          <w:szCs w:val="24"/>
        </w:rPr>
        <w:t>Introductory Comments</w:t>
      </w:r>
    </w:p>
    <w:p w14:paraId="570AFDA2" w14:textId="77777777" w:rsidR="00354CFA" w:rsidRDefault="00354CFA" w:rsidP="00354CFA">
      <w:pPr>
        <w:autoSpaceDE w:val="0"/>
        <w:autoSpaceDN w:val="0"/>
        <w:adjustRightInd w:val="0"/>
        <w:rPr>
          <w:rFonts w:ascii="Times New Roman" w:hAnsi="Times New Roman"/>
          <w:b/>
          <w:color w:val="000000"/>
          <w:szCs w:val="24"/>
          <w:highlight w:val="yellow"/>
        </w:rPr>
      </w:pPr>
    </w:p>
    <w:p w14:paraId="5BB10D10" w14:textId="17AAE11A" w:rsidR="00E20403" w:rsidRPr="00D87A00" w:rsidRDefault="005B502E" w:rsidP="00354CFA">
      <w:pPr>
        <w:autoSpaceDE w:val="0"/>
        <w:autoSpaceDN w:val="0"/>
        <w:adjustRightInd w:val="0"/>
        <w:rPr>
          <w:rFonts w:ascii="Times New Roman" w:hAnsi="Times New Roman"/>
          <w:color w:val="000000"/>
          <w:szCs w:val="24"/>
        </w:rPr>
      </w:pPr>
      <w:r>
        <w:rPr>
          <w:rFonts w:ascii="Times New Roman" w:hAnsi="Times New Roman"/>
          <w:color w:val="000000"/>
          <w:szCs w:val="24"/>
        </w:rPr>
        <w:t>Currently there are</w:t>
      </w:r>
      <w:r w:rsidR="00E20403" w:rsidRPr="00D87A00">
        <w:rPr>
          <w:rFonts w:ascii="Times New Roman" w:hAnsi="Times New Roman"/>
          <w:color w:val="000000"/>
          <w:szCs w:val="24"/>
        </w:rPr>
        <w:t xml:space="preserve"> global </w:t>
      </w:r>
      <w:r>
        <w:rPr>
          <w:rFonts w:ascii="Times New Roman" w:hAnsi="Times New Roman"/>
          <w:color w:val="000000"/>
          <w:szCs w:val="24"/>
        </w:rPr>
        <w:t xml:space="preserve">regulatory </w:t>
      </w:r>
      <w:r w:rsidR="00E20403" w:rsidRPr="00D87A00">
        <w:rPr>
          <w:rFonts w:ascii="Times New Roman" w:hAnsi="Times New Roman"/>
          <w:color w:val="000000"/>
          <w:szCs w:val="24"/>
        </w:rPr>
        <w:t xml:space="preserve">efforts </w:t>
      </w:r>
      <w:r>
        <w:rPr>
          <w:rFonts w:ascii="Times New Roman" w:hAnsi="Times New Roman"/>
          <w:color w:val="000000"/>
          <w:szCs w:val="24"/>
        </w:rPr>
        <w:t xml:space="preserve">to harmonize swap </w:t>
      </w:r>
      <w:r w:rsidR="00E20403" w:rsidRPr="00D87A00">
        <w:rPr>
          <w:rFonts w:ascii="Times New Roman" w:hAnsi="Times New Roman"/>
          <w:color w:val="000000"/>
          <w:szCs w:val="24"/>
        </w:rPr>
        <w:t>data</w:t>
      </w:r>
      <w:r>
        <w:rPr>
          <w:rFonts w:ascii="Times New Roman" w:hAnsi="Times New Roman"/>
          <w:color w:val="000000"/>
          <w:szCs w:val="24"/>
        </w:rPr>
        <w:t xml:space="preserve"> standards</w:t>
      </w:r>
      <w:r w:rsidR="00E20403" w:rsidRPr="00D87A00">
        <w:rPr>
          <w:rFonts w:ascii="Times New Roman" w:hAnsi="Times New Roman"/>
          <w:color w:val="000000"/>
          <w:szCs w:val="24"/>
        </w:rPr>
        <w:t xml:space="preserve"> and validations</w:t>
      </w:r>
      <w:r>
        <w:rPr>
          <w:rFonts w:ascii="Times New Roman" w:hAnsi="Times New Roman"/>
          <w:color w:val="000000"/>
          <w:szCs w:val="24"/>
        </w:rPr>
        <w:t>. Given these global harmonization efforts, the</w:t>
      </w:r>
      <w:r w:rsidR="00E20403" w:rsidRPr="00D87A00">
        <w:rPr>
          <w:rFonts w:ascii="Times New Roman" w:hAnsi="Times New Roman"/>
          <w:color w:val="000000"/>
          <w:szCs w:val="24"/>
        </w:rPr>
        <w:t xml:space="preserve"> SDRs </w:t>
      </w:r>
      <w:r w:rsidR="00D63A90">
        <w:rPr>
          <w:rFonts w:ascii="Times New Roman" w:hAnsi="Times New Roman"/>
          <w:color w:val="000000"/>
          <w:szCs w:val="24"/>
        </w:rPr>
        <w:t xml:space="preserve">request </w:t>
      </w:r>
      <w:r w:rsidR="00E20403" w:rsidRPr="00D87A00">
        <w:rPr>
          <w:rFonts w:ascii="Times New Roman" w:hAnsi="Times New Roman"/>
          <w:color w:val="000000"/>
          <w:szCs w:val="24"/>
        </w:rPr>
        <w:t xml:space="preserve">that the Commission coordinate </w:t>
      </w:r>
      <w:r w:rsidR="00C82B53">
        <w:rPr>
          <w:rFonts w:ascii="Times New Roman" w:hAnsi="Times New Roman"/>
          <w:color w:val="000000"/>
          <w:szCs w:val="24"/>
        </w:rPr>
        <w:t>any rule amendments</w:t>
      </w:r>
      <w:r w:rsidR="00C82B53" w:rsidRPr="00D87A00">
        <w:rPr>
          <w:rFonts w:ascii="Times New Roman" w:hAnsi="Times New Roman"/>
          <w:color w:val="000000"/>
          <w:szCs w:val="24"/>
        </w:rPr>
        <w:t xml:space="preserve"> </w:t>
      </w:r>
      <w:r w:rsidR="00C82B53">
        <w:rPr>
          <w:rFonts w:ascii="Times New Roman" w:hAnsi="Times New Roman"/>
          <w:color w:val="000000"/>
          <w:szCs w:val="24"/>
        </w:rPr>
        <w:t>and</w:t>
      </w:r>
      <w:r w:rsidR="00312C24" w:rsidRPr="00D87A00">
        <w:rPr>
          <w:rFonts w:ascii="Times New Roman" w:hAnsi="Times New Roman"/>
          <w:color w:val="000000"/>
          <w:szCs w:val="24"/>
        </w:rPr>
        <w:t xml:space="preserve"> harmonization of requirements</w:t>
      </w:r>
      <w:r w:rsidR="00E20403" w:rsidRPr="00D87A00">
        <w:rPr>
          <w:rFonts w:ascii="Times New Roman" w:hAnsi="Times New Roman"/>
          <w:color w:val="000000"/>
          <w:szCs w:val="24"/>
        </w:rPr>
        <w:t xml:space="preserve"> with the </w:t>
      </w:r>
      <w:r w:rsidR="004A4A5C">
        <w:rPr>
          <w:rFonts w:ascii="Times New Roman" w:hAnsi="Times New Roman"/>
          <w:color w:val="000000"/>
          <w:szCs w:val="24"/>
        </w:rPr>
        <w:t>foreign and</w:t>
      </w:r>
      <w:r w:rsidR="00312C24" w:rsidRPr="00D87A00">
        <w:rPr>
          <w:rFonts w:ascii="Times New Roman" w:hAnsi="Times New Roman"/>
          <w:color w:val="000000"/>
          <w:szCs w:val="24"/>
        </w:rPr>
        <w:t xml:space="preserve"> domestic regulators.</w:t>
      </w:r>
      <w:r w:rsidR="00D87A00">
        <w:rPr>
          <w:rFonts w:ascii="Times New Roman" w:hAnsi="Times New Roman"/>
          <w:color w:val="000000"/>
          <w:szCs w:val="24"/>
        </w:rPr>
        <w:t xml:space="preserve">  </w:t>
      </w:r>
      <w:r w:rsidR="00312C24" w:rsidRPr="00D87A00">
        <w:rPr>
          <w:rFonts w:ascii="Times New Roman" w:hAnsi="Times New Roman"/>
          <w:color w:val="000000"/>
          <w:szCs w:val="24"/>
        </w:rPr>
        <w:t>The SDRs</w:t>
      </w:r>
      <w:r w:rsidR="00C6621F">
        <w:rPr>
          <w:rFonts w:ascii="Times New Roman" w:hAnsi="Times New Roman"/>
          <w:color w:val="000000"/>
          <w:szCs w:val="24"/>
        </w:rPr>
        <w:t>, all which operate trade repositories in other jurisdictions,</w:t>
      </w:r>
      <w:r w:rsidR="00312C24" w:rsidRPr="00D87A00">
        <w:rPr>
          <w:rFonts w:ascii="Times New Roman" w:hAnsi="Times New Roman"/>
          <w:color w:val="000000"/>
          <w:szCs w:val="24"/>
        </w:rPr>
        <w:t xml:space="preserve"> and reporting counterparties</w:t>
      </w:r>
      <w:r w:rsidR="00F43ADB">
        <w:rPr>
          <w:rFonts w:ascii="Times New Roman" w:hAnsi="Times New Roman"/>
          <w:color w:val="000000"/>
          <w:szCs w:val="24"/>
        </w:rPr>
        <w:t>,</w:t>
      </w:r>
      <w:r w:rsidR="00312C24" w:rsidRPr="00D87A00">
        <w:rPr>
          <w:rFonts w:ascii="Times New Roman" w:hAnsi="Times New Roman"/>
          <w:color w:val="000000"/>
          <w:szCs w:val="24"/>
        </w:rPr>
        <w:t xml:space="preserve"> </w:t>
      </w:r>
      <w:r w:rsidR="00C82B53">
        <w:rPr>
          <w:rFonts w:ascii="Times New Roman" w:hAnsi="Times New Roman"/>
          <w:color w:val="000000"/>
          <w:szCs w:val="24"/>
        </w:rPr>
        <w:t>will be</w:t>
      </w:r>
      <w:r w:rsidR="00D87A00" w:rsidRPr="00D87A00">
        <w:rPr>
          <w:rFonts w:ascii="Times New Roman" w:hAnsi="Times New Roman"/>
          <w:color w:val="000000"/>
          <w:szCs w:val="24"/>
        </w:rPr>
        <w:t xml:space="preserve"> impacted by changes </w:t>
      </w:r>
      <w:r w:rsidR="00C82B53">
        <w:rPr>
          <w:rFonts w:ascii="Times New Roman" w:hAnsi="Times New Roman"/>
          <w:color w:val="000000"/>
          <w:szCs w:val="24"/>
        </w:rPr>
        <w:t>by the CFTC and the CPMI-IOSCO working groups</w:t>
      </w:r>
      <w:r w:rsidR="00D87A00" w:rsidRPr="00D87A00">
        <w:rPr>
          <w:rFonts w:ascii="Times New Roman" w:hAnsi="Times New Roman"/>
          <w:color w:val="000000"/>
          <w:szCs w:val="24"/>
        </w:rPr>
        <w:t xml:space="preserve">.  </w:t>
      </w:r>
    </w:p>
    <w:p w14:paraId="324EF727" w14:textId="77777777" w:rsidR="00312C24" w:rsidRDefault="00312C24" w:rsidP="00354CFA">
      <w:pPr>
        <w:autoSpaceDE w:val="0"/>
        <w:autoSpaceDN w:val="0"/>
        <w:adjustRightInd w:val="0"/>
        <w:rPr>
          <w:rFonts w:ascii="Times New Roman" w:hAnsi="Times New Roman"/>
          <w:color w:val="000000"/>
          <w:szCs w:val="24"/>
          <w:highlight w:val="yellow"/>
        </w:rPr>
      </w:pPr>
    </w:p>
    <w:p w14:paraId="1A6C72EE" w14:textId="09BC1565" w:rsidR="00171992" w:rsidRPr="00171992" w:rsidRDefault="00354CFA" w:rsidP="003A775C">
      <w:pPr>
        <w:autoSpaceDE w:val="0"/>
        <w:autoSpaceDN w:val="0"/>
        <w:adjustRightInd w:val="0"/>
        <w:rPr>
          <w:rFonts w:ascii="Times New Roman" w:hAnsi="Times New Roman"/>
          <w:color w:val="000000"/>
          <w:szCs w:val="24"/>
        </w:rPr>
      </w:pPr>
      <w:r w:rsidRPr="00610A85">
        <w:rPr>
          <w:rFonts w:ascii="Times New Roman" w:hAnsi="Times New Roman"/>
          <w:color w:val="000000"/>
          <w:szCs w:val="24"/>
        </w:rPr>
        <w:t xml:space="preserve">Given the substantive nature of </w:t>
      </w:r>
      <w:r w:rsidR="00DB619E" w:rsidRPr="00610A85">
        <w:rPr>
          <w:rFonts w:ascii="Times New Roman" w:hAnsi="Times New Roman"/>
          <w:color w:val="000000"/>
          <w:szCs w:val="24"/>
        </w:rPr>
        <w:t>potential</w:t>
      </w:r>
      <w:r w:rsidRPr="00610A85">
        <w:rPr>
          <w:rFonts w:ascii="Times New Roman" w:hAnsi="Times New Roman"/>
          <w:color w:val="000000"/>
          <w:szCs w:val="24"/>
        </w:rPr>
        <w:t xml:space="preserve"> </w:t>
      </w:r>
      <w:r w:rsidR="00DB619E" w:rsidRPr="00610A85">
        <w:rPr>
          <w:rFonts w:ascii="Times New Roman" w:hAnsi="Times New Roman"/>
          <w:color w:val="000000"/>
          <w:szCs w:val="24"/>
        </w:rPr>
        <w:t xml:space="preserve">modifications to </w:t>
      </w:r>
      <w:r w:rsidR="00C82B53">
        <w:rPr>
          <w:rFonts w:ascii="Times New Roman" w:hAnsi="Times New Roman"/>
          <w:color w:val="000000"/>
          <w:szCs w:val="24"/>
        </w:rPr>
        <w:t xml:space="preserve">the reporting </w:t>
      </w:r>
      <w:r w:rsidR="00DB619E" w:rsidRPr="00610A85">
        <w:rPr>
          <w:rFonts w:ascii="Times New Roman" w:hAnsi="Times New Roman"/>
          <w:color w:val="000000"/>
          <w:szCs w:val="24"/>
        </w:rPr>
        <w:t>rules, the SDRs request that all amendments</w:t>
      </w:r>
      <w:r w:rsidR="00D87A00" w:rsidRPr="00610A85">
        <w:rPr>
          <w:rFonts w:ascii="Times New Roman" w:hAnsi="Times New Roman"/>
          <w:color w:val="000000"/>
          <w:szCs w:val="24"/>
        </w:rPr>
        <w:t>, including validations on fields,</w:t>
      </w:r>
      <w:r w:rsidR="00DB619E" w:rsidRPr="00610A85">
        <w:rPr>
          <w:rFonts w:ascii="Times New Roman" w:hAnsi="Times New Roman"/>
          <w:color w:val="000000"/>
          <w:szCs w:val="24"/>
        </w:rPr>
        <w:t xml:space="preserve"> be finalized at once</w:t>
      </w:r>
      <w:r w:rsidR="00E20403" w:rsidRPr="00610A85">
        <w:rPr>
          <w:rFonts w:ascii="Times New Roman" w:hAnsi="Times New Roman"/>
          <w:color w:val="000000"/>
          <w:szCs w:val="24"/>
        </w:rPr>
        <w:t xml:space="preserve"> and implemented together to avoid </w:t>
      </w:r>
      <w:r w:rsidR="00D87A00" w:rsidRPr="00610A85">
        <w:rPr>
          <w:rFonts w:ascii="Times New Roman" w:hAnsi="Times New Roman"/>
          <w:color w:val="000000"/>
          <w:szCs w:val="24"/>
        </w:rPr>
        <w:t>duplicative</w:t>
      </w:r>
      <w:r w:rsidR="00E20403" w:rsidRPr="00610A85">
        <w:rPr>
          <w:rFonts w:ascii="Times New Roman" w:hAnsi="Times New Roman"/>
          <w:color w:val="000000"/>
          <w:szCs w:val="24"/>
        </w:rPr>
        <w:t xml:space="preserve"> and costly implementations</w:t>
      </w:r>
      <w:r w:rsidR="00DB619E" w:rsidRPr="00610A85">
        <w:rPr>
          <w:rFonts w:ascii="Times New Roman" w:hAnsi="Times New Roman"/>
          <w:color w:val="000000"/>
          <w:szCs w:val="24"/>
        </w:rPr>
        <w:t xml:space="preserve">. </w:t>
      </w:r>
      <w:r w:rsidR="00D87A00" w:rsidRPr="00610A85">
        <w:rPr>
          <w:rFonts w:ascii="Times New Roman" w:hAnsi="Times New Roman"/>
          <w:color w:val="000000"/>
          <w:szCs w:val="24"/>
        </w:rPr>
        <w:t xml:space="preserve"> The SDRs would </w:t>
      </w:r>
      <w:r w:rsidR="00247070">
        <w:rPr>
          <w:rFonts w:ascii="Times New Roman" w:hAnsi="Times New Roman"/>
          <w:color w:val="000000"/>
          <w:szCs w:val="24"/>
        </w:rPr>
        <w:t>request</w:t>
      </w:r>
      <w:r w:rsidR="00D87A00" w:rsidRPr="00610A85">
        <w:rPr>
          <w:rFonts w:ascii="Times New Roman" w:hAnsi="Times New Roman"/>
          <w:color w:val="000000"/>
          <w:szCs w:val="24"/>
        </w:rPr>
        <w:t xml:space="preserve"> that </w:t>
      </w:r>
      <w:r w:rsidR="00D63A90">
        <w:rPr>
          <w:rFonts w:ascii="Times New Roman" w:hAnsi="Times New Roman"/>
          <w:color w:val="000000"/>
          <w:szCs w:val="24"/>
        </w:rPr>
        <w:t xml:space="preserve">any </w:t>
      </w:r>
      <w:r w:rsidR="00D87A00" w:rsidRPr="00610A85">
        <w:rPr>
          <w:rFonts w:ascii="Times New Roman" w:hAnsi="Times New Roman"/>
          <w:color w:val="000000"/>
          <w:szCs w:val="24"/>
        </w:rPr>
        <w:t>changes to</w:t>
      </w:r>
      <w:r w:rsidR="00C82B53">
        <w:rPr>
          <w:rFonts w:ascii="Times New Roman" w:hAnsi="Times New Roman"/>
          <w:color w:val="000000"/>
          <w:szCs w:val="24"/>
        </w:rPr>
        <w:t xml:space="preserve"> the reporting rules</w:t>
      </w:r>
      <w:r w:rsidR="00D87A00" w:rsidRPr="00610A85">
        <w:rPr>
          <w:rFonts w:ascii="Times New Roman" w:hAnsi="Times New Roman"/>
          <w:color w:val="000000"/>
          <w:szCs w:val="24"/>
        </w:rPr>
        <w:t xml:space="preserve"> align with </w:t>
      </w:r>
      <w:r w:rsidR="00D63A90">
        <w:rPr>
          <w:rFonts w:ascii="Times New Roman" w:hAnsi="Times New Roman"/>
          <w:color w:val="000000"/>
          <w:szCs w:val="24"/>
        </w:rPr>
        <w:t>CPMI-</w:t>
      </w:r>
      <w:r w:rsidR="00D87A00" w:rsidRPr="00610A85">
        <w:rPr>
          <w:rFonts w:ascii="Times New Roman" w:hAnsi="Times New Roman"/>
          <w:color w:val="000000"/>
          <w:szCs w:val="24"/>
        </w:rPr>
        <w:t>IOSCO</w:t>
      </w:r>
      <w:r w:rsidR="00247070">
        <w:rPr>
          <w:rFonts w:ascii="Times New Roman" w:hAnsi="Times New Roman"/>
          <w:color w:val="000000"/>
          <w:szCs w:val="24"/>
        </w:rPr>
        <w:t xml:space="preserve"> and that </w:t>
      </w:r>
      <w:r w:rsidR="009779E4">
        <w:rPr>
          <w:rFonts w:ascii="Times New Roman" w:hAnsi="Times New Roman"/>
          <w:color w:val="000000"/>
          <w:szCs w:val="24"/>
        </w:rPr>
        <w:t xml:space="preserve">implementation of </w:t>
      </w:r>
      <w:r w:rsidR="00247070">
        <w:rPr>
          <w:rFonts w:ascii="Times New Roman" w:hAnsi="Times New Roman"/>
          <w:color w:val="000000"/>
          <w:szCs w:val="24"/>
        </w:rPr>
        <w:t xml:space="preserve">corresponding system </w:t>
      </w:r>
      <w:r w:rsidR="009779E4">
        <w:rPr>
          <w:rFonts w:ascii="Times New Roman" w:hAnsi="Times New Roman"/>
          <w:color w:val="000000"/>
          <w:szCs w:val="24"/>
        </w:rPr>
        <w:t xml:space="preserve">updates </w:t>
      </w:r>
      <w:r w:rsidR="00247070">
        <w:rPr>
          <w:rFonts w:ascii="Times New Roman" w:hAnsi="Times New Roman"/>
          <w:color w:val="000000"/>
          <w:szCs w:val="24"/>
        </w:rPr>
        <w:t xml:space="preserve">be </w:t>
      </w:r>
      <w:r w:rsidR="009779E4">
        <w:rPr>
          <w:rFonts w:ascii="Times New Roman" w:hAnsi="Times New Roman"/>
          <w:color w:val="000000"/>
          <w:szCs w:val="24"/>
        </w:rPr>
        <w:t xml:space="preserve">done </w:t>
      </w:r>
      <w:r w:rsidR="00247070">
        <w:rPr>
          <w:rFonts w:ascii="Times New Roman" w:hAnsi="Times New Roman"/>
          <w:color w:val="000000"/>
          <w:szCs w:val="24"/>
        </w:rPr>
        <w:t xml:space="preserve">all at once. </w:t>
      </w:r>
      <w:r w:rsidR="00C6621F">
        <w:rPr>
          <w:rFonts w:ascii="Times New Roman" w:hAnsi="Times New Roman"/>
          <w:color w:val="000000"/>
          <w:szCs w:val="24"/>
        </w:rPr>
        <w:t xml:space="preserve">Implementing at once limits the chance for further rounds of corrective work, as evidenced in other jurisdictions.  </w:t>
      </w:r>
      <w:r w:rsidR="00DB619E" w:rsidRPr="00171992">
        <w:rPr>
          <w:rFonts w:ascii="Times New Roman" w:hAnsi="Times New Roman"/>
          <w:color w:val="000000"/>
          <w:szCs w:val="24"/>
        </w:rPr>
        <w:t xml:space="preserve">While the SDRs </w:t>
      </w:r>
      <w:r w:rsidR="00DB619E" w:rsidRPr="00171992">
        <w:rPr>
          <w:rFonts w:ascii="Times New Roman" w:hAnsi="Times New Roman"/>
          <w:color w:val="000000"/>
          <w:szCs w:val="24"/>
        </w:rPr>
        <w:lastRenderedPageBreak/>
        <w:t xml:space="preserve">understand the Commission’s desire to make incremental progress, </w:t>
      </w:r>
      <w:r w:rsidR="00247070">
        <w:rPr>
          <w:rFonts w:ascii="Times New Roman" w:hAnsi="Times New Roman"/>
          <w:color w:val="000000"/>
          <w:szCs w:val="24"/>
        </w:rPr>
        <w:t>a staggered</w:t>
      </w:r>
      <w:r w:rsidR="00DB619E" w:rsidRPr="00171992">
        <w:rPr>
          <w:rFonts w:ascii="Times New Roman" w:hAnsi="Times New Roman"/>
          <w:color w:val="000000"/>
          <w:szCs w:val="24"/>
        </w:rPr>
        <w:t xml:space="preserve"> approach will be </w:t>
      </w:r>
      <w:proofErr w:type="gramStart"/>
      <w:r w:rsidR="00DB619E" w:rsidRPr="00171992">
        <w:rPr>
          <w:rFonts w:ascii="Times New Roman" w:hAnsi="Times New Roman"/>
          <w:color w:val="000000"/>
          <w:szCs w:val="24"/>
        </w:rPr>
        <w:t>more costly</w:t>
      </w:r>
      <w:proofErr w:type="gramEnd"/>
      <w:r w:rsidR="00DB619E" w:rsidRPr="00171992">
        <w:rPr>
          <w:rFonts w:ascii="Times New Roman" w:hAnsi="Times New Roman"/>
          <w:color w:val="000000"/>
          <w:szCs w:val="24"/>
        </w:rPr>
        <w:t xml:space="preserve"> and complicated for market participants and SDRs</w:t>
      </w:r>
      <w:r w:rsidR="00E20403" w:rsidRPr="00171992">
        <w:rPr>
          <w:rFonts w:ascii="Times New Roman" w:hAnsi="Times New Roman"/>
          <w:color w:val="000000"/>
          <w:szCs w:val="24"/>
        </w:rPr>
        <w:t xml:space="preserve"> to implement</w:t>
      </w:r>
      <w:r w:rsidR="00D87A00" w:rsidRPr="00171992">
        <w:rPr>
          <w:rFonts w:ascii="Times New Roman" w:hAnsi="Times New Roman"/>
          <w:color w:val="000000"/>
          <w:szCs w:val="24"/>
        </w:rPr>
        <w:t xml:space="preserve">.  </w:t>
      </w:r>
      <w:r w:rsidR="00247070">
        <w:rPr>
          <w:rFonts w:ascii="Times New Roman" w:hAnsi="Times New Roman"/>
          <w:color w:val="000000"/>
          <w:szCs w:val="24"/>
        </w:rPr>
        <w:t xml:space="preserve">As such, the SDRs request that the CFTC and global regulators </w:t>
      </w:r>
      <w:r w:rsidR="00D87A00" w:rsidRPr="00171992">
        <w:rPr>
          <w:rFonts w:ascii="Times New Roman" w:hAnsi="Times New Roman"/>
          <w:color w:val="000000"/>
          <w:szCs w:val="24"/>
        </w:rPr>
        <w:t xml:space="preserve">require that </w:t>
      </w:r>
      <w:r w:rsidR="00247070">
        <w:rPr>
          <w:rFonts w:ascii="Times New Roman" w:hAnsi="Times New Roman"/>
          <w:color w:val="000000"/>
          <w:szCs w:val="24"/>
        </w:rPr>
        <w:t xml:space="preserve">system </w:t>
      </w:r>
      <w:r w:rsidR="00D87A00" w:rsidRPr="00171992">
        <w:rPr>
          <w:rFonts w:ascii="Times New Roman" w:hAnsi="Times New Roman"/>
          <w:color w:val="000000"/>
          <w:szCs w:val="24"/>
        </w:rPr>
        <w:t>changes be implemented as part of a single effort</w:t>
      </w:r>
      <w:r w:rsidR="003A775C" w:rsidRPr="00171992">
        <w:rPr>
          <w:rFonts w:ascii="Times New Roman" w:hAnsi="Times New Roman"/>
          <w:color w:val="000000"/>
          <w:szCs w:val="24"/>
        </w:rPr>
        <w:t xml:space="preserve">.  </w:t>
      </w:r>
    </w:p>
    <w:p w14:paraId="4D81CD2E" w14:textId="77777777" w:rsidR="00171992" w:rsidRPr="00171992" w:rsidRDefault="00171992" w:rsidP="003A775C">
      <w:pPr>
        <w:autoSpaceDE w:val="0"/>
        <w:autoSpaceDN w:val="0"/>
        <w:adjustRightInd w:val="0"/>
        <w:rPr>
          <w:rFonts w:ascii="Times New Roman" w:hAnsi="Times New Roman"/>
          <w:color w:val="000000"/>
          <w:szCs w:val="24"/>
        </w:rPr>
      </w:pPr>
    </w:p>
    <w:p w14:paraId="07A94ACF" w14:textId="211E0304" w:rsidR="007072E0" w:rsidRDefault="003A775C" w:rsidP="003A775C">
      <w:pPr>
        <w:autoSpaceDE w:val="0"/>
        <w:autoSpaceDN w:val="0"/>
        <w:adjustRightInd w:val="0"/>
        <w:rPr>
          <w:rFonts w:ascii="Times New Roman" w:hAnsi="Times New Roman"/>
          <w:color w:val="000000"/>
          <w:szCs w:val="24"/>
        </w:rPr>
      </w:pPr>
      <w:r w:rsidRPr="00171992">
        <w:rPr>
          <w:rFonts w:ascii="Times New Roman" w:hAnsi="Times New Roman"/>
          <w:color w:val="000000"/>
          <w:szCs w:val="24"/>
        </w:rPr>
        <w:t xml:space="preserve">The SDRs also request the Commission </w:t>
      </w:r>
      <w:r w:rsidR="00247070">
        <w:rPr>
          <w:rFonts w:ascii="Times New Roman" w:hAnsi="Times New Roman"/>
          <w:color w:val="000000"/>
          <w:szCs w:val="24"/>
        </w:rPr>
        <w:t xml:space="preserve">implement only modifications </w:t>
      </w:r>
      <w:r w:rsidRPr="00171992">
        <w:rPr>
          <w:rFonts w:ascii="Times New Roman" w:hAnsi="Times New Roman"/>
          <w:color w:val="000000"/>
          <w:szCs w:val="24"/>
        </w:rPr>
        <w:t>that are</w:t>
      </w:r>
      <w:r w:rsidR="00247070">
        <w:rPr>
          <w:rFonts w:ascii="Times New Roman" w:hAnsi="Times New Roman"/>
          <w:color w:val="000000"/>
          <w:szCs w:val="24"/>
        </w:rPr>
        <w:t xml:space="preserve"> </w:t>
      </w:r>
      <w:r w:rsidRPr="00171992">
        <w:rPr>
          <w:rFonts w:ascii="Times New Roman" w:hAnsi="Times New Roman"/>
          <w:color w:val="000000"/>
          <w:szCs w:val="24"/>
        </w:rPr>
        <w:t xml:space="preserve">necessary to allow the Commission to meet its </w:t>
      </w:r>
      <w:r w:rsidR="00335599">
        <w:rPr>
          <w:rFonts w:ascii="Times New Roman" w:hAnsi="Times New Roman"/>
          <w:color w:val="000000"/>
          <w:szCs w:val="24"/>
        </w:rPr>
        <w:t xml:space="preserve">stated </w:t>
      </w:r>
      <w:r w:rsidRPr="00171992">
        <w:rPr>
          <w:rFonts w:ascii="Times New Roman" w:hAnsi="Times New Roman"/>
          <w:color w:val="000000"/>
          <w:szCs w:val="24"/>
        </w:rPr>
        <w:t xml:space="preserve">goals of streamlining the reporting process and improving data accuracy and completeness.  </w:t>
      </w:r>
      <w:r w:rsidR="00ED528C">
        <w:rPr>
          <w:rFonts w:ascii="Times New Roman" w:hAnsi="Times New Roman"/>
          <w:color w:val="000000"/>
          <w:szCs w:val="24"/>
        </w:rPr>
        <w:t xml:space="preserve">The </w:t>
      </w:r>
      <w:r w:rsidR="007072E0" w:rsidRPr="00171992">
        <w:rPr>
          <w:rFonts w:ascii="Times New Roman" w:hAnsi="Times New Roman"/>
          <w:color w:val="000000"/>
          <w:szCs w:val="24"/>
        </w:rPr>
        <w:t xml:space="preserve">SDRs </w:t>
      </w:r>
      <w:r w:rsidR="00ED528C">
        <w:rPr>
          <w:rFonts w:ascii="Times New Roman" w:hAnsi="Times New Roman"/>
          <w:color w:val="000000"/>
          <w:szCs w:val="24"/>
        </w:rPr>
        <w:t>believe</w:t>
      </w:r>
      <w:r w:rsidR="00ED528C" w:rsidRPr="00171992">
        <w:rPr>
          <w:rFonts w:ascii="Times New Roman" w:hAnsi="Times New Roman"/>
          <w:color w:val="000000"/>
          <w:szCs w:val="24"/>
        </w:rPr>
        <w:t xml:space="preserve"> </w:t>
      </w:r>
      <w:r w:rsidR="007072E0" w:rsidRPr="00171992">
        <w:rPr>
          <w:rFonts w:ascii="Times New Roman" w:hAnsi="Times New Roman"/>
          <w:color w:val="000000"/>
          <w:szCs w:val="24"/>
        </w:rPr>
        <w:t xml:space="preserve">the Commission </w:t>
      </w:r>
      <w:r w:rsidR="00ED528C">
        <w:rPr>
          <w:rFonts w:ascii="Times New Roman" w:hAnsi="Times New Roman"/>
          <w:color w:val="000000"/>
          <w:szCs w:val="24"/>
        </w:rPr>
        <w:t>should</w:t>
      </w:r>
      <w:r w:rsidR="00ED528C" w:rsidRPr="00171992">
        <w:rPr>
          <w:rFonts w:ascii="Times New Roman" w:hAnsi="Times New Roman"/>
          <w:color w:val="000000"/>
          <w:szCs w:val="24"/>
        </w:rPr>
        <w:t xml:space="preserve"> </w:t>
      </w:r>
      <w:r w:rsidR="007072E0" w:rsidRPr="00171992">
        <w:rPr>
          <w:rFonts w:ascii="Times New Roman" w:hAnsi="Times New Roman"/>
          <w:color w:val="000000"/>
          <w:szCs w:val="24"/>
        </w:rPr>
        <w:t xml:space="preserve">consider the </w:t>
      </w:r>
      <w:r w:rsidR="00171992">
        <w:rPr>
          <w:rFonts w:ascii="Times New Roman" w:hAnsi="Times New Roman"/>
          <w:color w:val="000000"/>
          <w:szCs w:val="24"/>
        </w:rPr>
        <w:t>options that allow the</w:t>
      </w:r>
      <w:r w:rsidR="00396283">
        <w:rPr>
          <w:rFonts w:ascii="Times New Roman" w:hAnsi="Times New Roman"/>
          <w:color w:val="000000"/>
          <w:szCs w:val="24"/>
        </w:rPr>
        <w:t xml:space="preserve"> </w:t>
      </w:r>
      <w:r w:rsidR="00C6621F">
        <w:rPr>
          <w:rFonts w:ascii="Times New Roman" w:hAnsi="Times New Roman"/>
          <w:color w:val="000000"/>
          <w:szCs w:val="24"/>
        </w:rPr>
        <w:t xml:space="preserve">SDRs to perform post submission </w:t>
      </w:r>
      <w:r w:rsidR="009B3707">
        <w:rPr>
          <w:rFonts w:ascii="Times New Roman" w:hAnsi="Times New Roman"/>
          <w:color w:val="000000"/>
          <w:szCs w:val="24"/>
        </w:rPr>
        <w:t xml:space="preserve">modifications, </w:t>
      </w:r>
      <w:r w:rsidR="00396283">
        <w:rPr>
          <w:rFonts w:ascii="Times New Roman" w:hAnsi="Times New Roman"/>
          <w:color w:val="000000"/>
          <w:szCs w:val="24"/>
        </w:rPr>
        <w:t xml:space="preserve">rather than requiring </w:t>
      </w:r>
      <w:r w:rsidR="009B3707">
        <w:rPr>
          <w:rFonts w:ascii="Times New Roman" w:hAnsi="Times New Roman"/>
          <w:color w:val="000000"/>
          <w:szCs w:val="24"/>
        </w:rPr>
        <w:t>reporting counterparties to make modifications upstream</w:t>
      </w:r>
      <w:r w:rsidR="00610A85">
        <w:rPr>
          <w:rFonts w:ascii="Times New Roman" w:hAnsi="Times New Roman"/>
          <w:color w:val="000000"/>
          <w:szCs w:val="24"/>
        </w:rPr>
        <w:t>.  This approach will lesse</w:t>
      </w:r>
      <w:r w:rsidR="00335599">
        <w:rPr>
          <w:rFonts w:ascii="Times New Roman" w:hAnsi="Times New Roman"/>
          <w:color w:val="000000"/>
          <w:szCs w:val="24"/>
        </w:rPr>
        <w:t>n</w:t>
      </w:r>
      <w:r w:rsidR="00610A85">
        <w:rPr>
          <w:rFonts w:ascii="Times New Roman" w:hAnsi="Times New Roman"/>
          <w:color w:val="000000"/>
          <w:szCs w:val="24"/>
        </w:rPr>
        <w:t xml:space="preserve"> </w:t>
      </w:r>
      <w:r w:rsidR="00335599">
        <w:rPr>
          <w:rFonts w:ascii="Times New Roman" w:hAnsi="Times New Roman"/>
          <w:color w:val="000000"/>
          <w:szCs w:val="24"/>
        </w:rPr>
        <w:t xml:space="preserve">the </w:t>
      </w:r>
      <w:r w:rsidR="00610A85">
        <w:rPr>
          <w:rFonts w:ascii="Times New Roman" w:hAnsi="Times New Roman"/>
          <w:color w:val="000000"/>
          <w:szCs w:val="24"/>
        </w:rPr>
        <w:t>impact on reporting counterparties</w:t>
      </w:r>
      <w:r w:rsidR="00F9208A">
        <w:rPr>
          <w:rFonts w:ascii="Times New Roman" w:hAnsi="Times New Roman"/>
          <w:color w:val="000000"/>
          <w:szCs w:val="24"/>
        </w:rPr>
        <w:t xml:space="preserve"> while</w:t>
      </w:r>
      <w:r w:rsidR="00335599">
        <w:rPr>
          <w:rFonts w:ascii="Times New Roman" w:hAnsi="Times New Roman"/>
          <w:color w:val="000000"/>
          <w:szCs w:val="24"/>
        </w:rPr>
        <w:t xml:space="preserve"> still</w:t>
      </w:r>
      <w:r w:rsidR="00F9208A">
        <w:rPr>
          <w:rFonts w:ascii="Times New Roman" w:hAnsi="Times New Roman"/>
          <w:color w:val="000000"/>
          <w:szCs w:val="24"/>
        </w:rPr>
        <w:t xml:space="preserve"> ensuring that the Commission get</w:t>
      </w:r>
      <w:r w:rsidR="00335599">
        <w:rPr>
          <w:rFonts w:ascii="Times New Roman" w:hAnsi="Times New Roman"/>
          <w:color w:val="000000"/>
          <w:szCs w:val="24"/>
        </w:rPr>
        <w:t>s</w:t>
      </w:r>
      <w:r w:rsidR="00F9208A">
        <w:rPr>
          <w:rFonts w:ascii="Times New Roman" w:hAnsi="Times New Roman"/>
          <w:color w:val="000000"/>
          <w:szCs w:val="24"/>
        </w:rPr>
        <w:t xml:space="preserve"> the data in its desired form</w:t>
      </w:r>
      <w:r w:rsidR="00610A85">
        <w:rPr>
          <w:rFonts w:ascii="Times New Roman" w:hAnsi="Times New Roman"/>
          <w:color w:val="000000"/>
          <w:szCs w:val="24"/>
        </w:rPr>
        <w:t xml:space="preserve">.  More specifically, </w:t>
      </w:r>
      <w:r w:rsidR="00396283">
        <w:rPr>
          <w:rFonts w:ascii="Times New Roman" w:hAnsi="Times New Roman"/>
          <w:color w:val="000000"/>
          <w:szCs w:val="24"/>
        </w:rPr>
        <w:t xml:space="preserve">allowing the SDRs the option </w:t>
      </w:r>
      <w:r w:rsidR="00610A85">
        <w:rPr>
          <w:rFonts w:ascii="Times New Roman" w:hAnsi="Times New Roman"/>
          <w:color w:val="000000"/>
          <w:szCs w:val="24"/>
        </w:rPr>
        <w:t xml:space="preserve">to build logic to transform the data </w:t>
      </w:r>
      <w:r w:rsidR="00396283">
        <w:rPr>
          <w:rFonts w:ascii="Times New Roman" w:hAnsi="Times New Roman"/>
          <w:color w:val="000000"/>
          <w:szCs w:val="24"/>
        </w:rPr>
        <w:t xml:space="preserve">it receives </w:t>
      </w:r>
      <w:r w:rsidR="00610A85">
        <w:rPr>
          <w:rFonts w:ascii="Times New Roman" w:hAnsi="Times New Roman"/>
          <w:color w:val="000000"/>
          <w:szCs w:val="24"/>
        </w:rPr>
        <w:t>from reporting counterparties</w:t>
      </w:r>
      <w:r w:rsidR="00396283">
        <w:rPr>
          <w:rFonts w:ascii="Times New Roman" w:hAnsi="Times New Roman"/>
          <w:color w:val="000000"/>
          <w:szCs w:val="24"/>
        </w:rPr>
        <w:t>, rather than requiring it be captured at the time of submission</w:t>
      </w:r>
      <w:r w:rsidR="00CF1635">
        <w:rPr>
          <w:rFonts w:ascii="Times New Roman" w:hAnsi="Times New Roman"/>
          <w:color w:val="000000"/>
          <w:szCs w:val="24"/>
        </w:rPr>
        <w:t>,</w:t>
      </w:r>
      <w:r w:rsidR="00610A85">
        <w:rPr>
          <w:rFonts w:ascii="Times New Roman" w:hAnsi="Times New Roman"/>
          <w:color w:val="000000"/>
          <w:szCs w:val="24"/>
        </w:rPr>
        <w:t xml:space="preserve"> will </w:t>
      </w:r>
      <w:r w:rsidR="00FD1494">
        <w:rPr>
          <w:rFonts w:ascii="Times New Roman" w:hAnsi="Times New Roman"/>
          <w:color w:val="000000"/>
          <w:szCs w:val="24"/>
        </w:rPr>
        <w:t xml:space="preserve">permit </w:t>
      </w:r>
      <w:r w:rsidR="00610A85">
        <w:rPr>
          <w:rFonts w:ascii="Times New Roman" w:hAnsi="Times New Roman"/>
          <w:color w:val="000000"/>
          <w:szCs w:val="24"/>
        </w:rPr>
        <w:t>the SDRs to limit changes to their technical specifications and thus, fewer changes will be required of reporting counterparties.</w:t>
      </w:r>
    </w:p>
    <w:p w14:paraId="04A7ACA9" w14:textId="77777777" w:rsidR="00610A85" w:rsidRDefault="00610A85" w:rsidP="003A775C">
      <w:pPr>
        <w:autoSpaceDE w:val="0"/>
        <w:autoSpaceDN w:val="0"/>
        <w:adjustRightInd w:val="0"/>
        <w:rPr>
          <w:rFonts w:ascii="Times New Roman" w:hAnsi="Times New Roman"/>
          <w:color w:val="000000"/>
          <w:szCs w:val="24"/>
        </w:rPr>
      </w:pPr>
    </w:p>
    <w:p w14:paraId="2F97917C" w14:textId="25738559" w:rsidR="00615140" w:rsidRDefault="00610A85" w:rsidP="008552E5">
      <w:pPr>
        <w:autoSpaceDE w:val="0"/>
        <w:autoSpaceDN w:val="0"/>
        <w:adjustRightInd w:val="0"/>
        <w:rPr>
          <w:rFonts w:ascii="Times New Roman" w:hAnsi="Times New Roman"/>
        </w:rPr>
      </w:pPr>
      <w:r>
        <w:rPr>
          <w:rFonts w:ascii="Times New Roman" w:hAnsi="Times New Roman"/>
          <w:color w:val="000000"/>
          <w:szCs w:val="24"/>
        </w:rPr>
        <w:t xml:space="preserve">Finally, the SDRs would encourage and welcome the opportunity to </w:t>
      </w:r>
      <w:r w:rsidR="00EC36F2">
        <w:rPr>
          <w:rFonts w:ascii="Times New Roman" w:hAnsi="Times New Roman"/>
          <w:color w:val="000000"/>
          <w:szCs w:val="24"/>
        </w:rPr>
        <w:t xml:space="preserve">make </w:t>
      </w:r>
      <w:r w:rsidR="009B3707">
        <w:rPr>
          <w:rFonts w:ascii="Times New Roman" w:hAnsi="Times New Roman"/>
          <w:color w:val="000000"/>
          <w:szCs w:val="24"/>
        </w:rPr>
        <w:t xml:space="preserve">the </w:t>
      </w:r>
      <w:r w:rsidR="00EC36F2">
        <w:rPr>
          <w:rFonts w:ascii="Times New Roman" w:hAnsi="Times New Roman"/>
          <w:color w:val="000000"/>
          <w:szCs w:val="24"/>
        </w:rPr>
        <w:t xml:space="preserve">rule amendment process a collaborative effort </w:t>
      </w:r>
      <w:r w:rsidR="008552E5">
        <w:rPr>
          <w:rFonts w:ascii="Times New Roman" w:hAnsi="Times New Roman"/>
          <w:color w:val="000000"/>
          <w:szCs w:val="24"/>
        </w:rPr>
        <w:t xml:space="preserve">with Commission.  </w:t>
      </w:r>
      <w:r w:rsidR="00D73369" w:rsidRPr="00205AA7">
        <w:rPr>
          <w:rFonts w:ascii="Times New Roman" w:hAnsi="Times New Roman"/>
        </w:rPr>
        <w:t xml:space="preserve">The SDRs are best positioned </w:t>
      </w:r>
      <w:r w:rsidR="00D73369">
        <w:rPr>
          <w:rFonts w:ascii="Times New Roman" w:hAnsi="Times New Roman"/>
        </w:rPr>
        <w:t xml:space="preserve">to provide useful input </w:t>
      </w:r>
      <w:r w:rsidR="00410345">
        <w:rPr>
          <w:rFonts w:ascii="Times New Roman" w:hAnsi="Times New Roman"/>
        </w:rPr>
        <w:t xml:space="preserve">and feedback </w:t>
      </w:r>
      <w:r w:rsidR="00912966">
        <w:rPr>
          <w:rFonts w:ascii="Times New Roman" w:hAnsi="Times New Roman"/>
        </w:rPr>
        <w:t>regarding the operation of</w:t>
      </w:r>
      <w:r w:rsidR="00AE0367">
        <w:rPr>
          <w:rFonts w:ascii="Times New Roman" w:hAnsi="Times New Roman"/>
        </w:rPr>
        <w:t xml:space="preserve"> </w:t>
      </w:r>
      <w:r w:rsidR="00410345">
        <w:rPr>
          <w:rFonts w:ascii="Times New Roman" w:hAnsi="Times New Roman"/>
        </w:rPr>
        <w:t>domestic and international trade repositories</w:t>
      </w:r>
      <w:r w:rsidR="00D73369">
        <w:rPr>
          <w:rFonts w:ascii="Times New Roman" w:hAnsi="Times New Roman"/>
        </w:rPr>
        <w:t>.  Further, the S</w:t>
      </w:r>
      <w:r w:rsidR="00F9208A">
        <w:rPr>
          <w:rFonts w:ascii="Times New Roman" w:hAnsi="Times New Roman"/>
        </w:rPr>
        <w:t>DRs have a keen understanding of</w:t>
      </w:r>
      <w:r w:rsidR="00D73369">
        <w:rPr>
          <w:rFonts w:ascii="Times New Roman" w:hAnsi="Times New Roman"/>
        </w:rPr>
        <w:t xml:space="preserve"> their own capabilities and limitations</w:t>
      </w:r>
      <w:r w:rsidR="00F9208A">
        <w:rPr>
          <w:rFonts w:ascii="Times New Roman" w:hAnsi="Times New Roman"/>
        </w:rPr>
        <w:t>,</w:t>
      </w:r>
      <w:r w:rsidR="00D73369">
        <w:rPr>
          <w:rFonts w:ascii="Times New Roman" w:hAnsi="Times New Roman"/>
        </w:rPr>
        <w:t xml:space="preserve"> as well as that of reporting counterparties.  </w:t>
      </w:r>
      <w:r w:rsidR="008552E5">
        <w:rPr>
          <w:rFonts w:ascii="Times New Roman" w:hAnsi="Times New Roman"/>
        </w:rPr>
        <w:t xml:space="preserve">With respect to </w:t>
      </w:r>
      <w:r w:rsidR="00410345">
        <w:rPr>
          <w:rFonts w:ascii="Times New Roman" w:hAnsi="Times New Roman"/>
        </w:rPr>
        <w:t xml:space="preserve">specific </w:t>
      </w:r>
      <w:r w:rsidR="008552E5">
        <w:rPr>
          <w:rFonts w:ascii="Times New Roman" w:hAnsi="Times New Roman"/>
        </w:rPr>
        <w:t>amendments or implementations</w:t>
      </w:r>
      <w:r w:rsidR="00410345">
        <w:rPr>
          <w:rFonts w:ascii="Times New Roman" w:hAnsi="Times New Roman"/>
        </w:rPr>
        <w:t>,</w:t>
      </w:r>
      <w:r w:rsidR="008552E5">
        <w:rPr>
          <w:rFonts w:ascii="Times New Roman" w:hAnsi="Times New Roman"/>
        </w:rPr>
        <w:t xml:space="preserve"> the SDRs request that the Commission </w:t>
      </w:r>
      <w:r w:rsidR="00410345">
        <w:rPr>
          <w:rFonts w:ascii="Times New Roman" w:hAnsi="Times New Roman"/>
        </w:rPr>
        <w:t>provide background on the purpose of the requested changes.  Often, if the</w:t>
      </w:r>
      <w:r w:rsidR="008552E5">
        <w:rPr>
          <w:rFonts w:ascii="Times New Roman" w:hAnsi="Times New Roman"/>
        </w:rPr>
        <w:t xml:space="preserve"> SDRs understand the intended usage of the data, the SDRs can better guide the Commission on the most effective way to deliver the needed results.</w:t>
      </w:r>
      <w:r w:rsidR="00615140" w:rsidRPr="004A7F63">
        <w:rPr>
          <w:rFonts w:ascii="Calibri" w:hAnsi="Calibri"/>
          <w:color w:val="0070C0"/>
        </w:rPr>
        <w:t xml:space="preserve"> </w:t>
      </w:r>
      <w:r w:rsidR="004A7F63" w:rsidRPr="004A7F63">
        <w:rPr>
          <w:rFonts w:ascii="Calibri" w:hAnsi="Calibri"/>
          <w:color w:val="0070C0"/>
        </w:rPr>
        <w:t xml:space="preserve"> </w:t>
      </w:r>
      <w:r w:rsidR="004A7F63">
        <w:rPr>
          <w:rFonts w:ascii="Times New Roman" w:hAnsi="Times New Roman"/>
        </w:rPr>
        <w:t xml:space="preserve">Once </w:t>
      </w:r>
      <w:r w:rsidR="00410345">
        <w:rPr>
          <w:rFonts w:ascii="Times New Roman" w:hAnsi="Times New Roman"/>
        </w:rPr>
        <w:t xml:space="preserve">rule amendments </w:t>
      </w:r>
      <w:r w:rsidR="004A7F63">
        <w:rPr>
          <w:rFonts w:ascii="Times New Roman" w:hAnsi="Times New Roman"/>
        </w:rPr>
        <w:t>are finalized, t</w:t>
      </w:r>
      <w:r w:rsidR="004A7F63" w:rsidRPr="004A7F63">
        <w:rPr>
          <w:rFonts w:ascii="Times New Roman" w:hAnsi="Times New Roman"/>
        </w:rPr>
        <w:t xml:space="preserve">he SDRs would also </w:t>
      </w:r>
      <w:r w:rsidR="00FD1494">
        <w:rPr>
          <w:rFonts w:ascii="Times New Roman" w:hAnsi="Times New Roman"/>
        </w:rPr>
        <w:t xml:space="preserve">encourage the Commission to </w:t>
      </w:r>
      <w:r w:rsidR="004A7F63">
        <w:rPr>
          <w:rFonts w:ascii="Times New Roman" w:hAnsi="Times New Roman"/>
        </w:rPr>
        <w:t>publish guidance and Q &amp; A documentation</w:t>
      </w:r>
      <w:r w:rsidR="004A7F63" w:rsidRPr="004A7F63">
        <w:rPr>
          <w:rFonts w:ascii="Times New Roman" w:hAnsi="Times New Roman"/>
        </w:rPr>
        <w:t xml:space="preserve">.  Such guidance has been helpful </w:t>
      </w:r>
      <w:r w:rsidR="007003B1">
        <w:rPr>
          <w:rFonts w:ascii="Times New Roman" w:hAnsi="Times New Roman"/>
        </w:rPr>
        <w:t xml:space="preserve">in other jurisdictions </w:t>
      </w:r>
      <w:r w:rsidR="004A7F63" w:rsidRPr="004A7F63">
        <w:rPr>
          <w:rFonts w:ascii="Times New Roman" w:hAnsi="Times New Roman"/>
        </w:rPr>
        <w:t>to clarify vagueness where it exists within the rules.  If the Commission</w:t>
      </w:r>
      <w:r w:rsidR="004A7F63">
        <w:rPr>
          <w:rFonts w:ascii="Times New Roman" w:hAnsi="Times New Roman"/>
        </w:rPr>
        <w:t xml:space="preserve"> provides guidance that is publicly available, implementations, and therefore, data sets, would be more consistent across SDRs and market participants.</w:t>
      </w:r>
    </w:p>
    <w:p w14:paraId="64B4FD77" w14:textId="77777777" w:rsidR="004A7F63" w:rsidRDefault="004A7F63" w:rsidP="008552E5">
      <w:pPr>
        <w:autoSpaceDE w:val="0"/>
        <w:autoSpaceDN w:val="0"/>
        <w:adjustRightInd w:val="0"/>
        <w:rPr>
          <w:rFonts w:ascii="Times New Roman" w:hAnsi="Times New Roman"/>
        </w:rPr>
      </w:pPr>
    </w:p>
    <w:p w14:paraId="3091ECB6" w14:textId="77777777" w:rsidR="00834739" w:rsidRPr="00B826AD" w:rsidRDefault="00834739" w:rsidP="00B826AD">
      <w:pPr>
        <w:pStyle w:val="ListParagraph"/>
        <w:numPr>
          <w:ilvl w:val="0"/>
          <w:numId w:val="6"/>
        </w:numPr>
        <w:autoSpaceDE w:val="0"/>
        <w:autoSpaceDN w:val="0"/>
        <w:adjustRightInd w:val="0"/>
        <w:rPr>
          <w:rFonts w:ascii="Times New Roman" w:hAnsi="Times New Roman"/>
          <w:b/>
          <w:color w:val="000000"/>
          <w:szCs w:val="24"/>
        </w:rPr>
      </w:pPr>
      <w:r w:rsidRPr="00B826AD">
        <w:rPr>
          <w:rFonts w:ascii="Times New Roman" w:hAnsi="Times New Roman"/>
          <w:b/>
          <w:color w:val="000000"/>
          <w:szCs w:val="24"/>
        </w:rPr>
        <w:t>Tranche I: SDR Operations Review</w:t>
      </w:r>
    </w:p>
    <w:p w14:paraId="6932D85C" w14:textId="77777777" w:rsidR="00B65497" w:rsidRDefault="00B65497" w:rsidP="007C0EAC">
      <w:pPr>
        <w:pStyle w:val="ListParagraph"/>
        <w:numPr>
          <w:ilvl w:val="1"/>
          <w:numId w:val="6"/>
        </w:numPr>
        <w:autoSpaceDE w:val="0"/>
        <w:autoSpaceDN w:val="0"/>
        <w:adjustRightInd w:val="0"/>
        <w:rPr>
          <w:rFonts w:ascii="Times New Roman" w:hAnsi="Times New Roman"/>
          <w:b/>
          <w:color w:val="000000"/>
          <w:szCs w:val="24"/>
        </w:rPr>
      </w:pPr>
      <w:r>
        <w:rPr>
          <w:rFonts w:ascii="Times New Roman" w:hAnsi="Times New Roman"/>
          <w:b/>
          <w:color w:val="000000"/>
          <w:szCs w:val="24"/>
        </w:rPr>
        <w:t>SDR Validations</w:t>
      </w:r>
    </w:p>
    <w:p w14:paraId="5EA31DE2" w14:textId="77777777" w:rsidR="009A5525" w:rsidRDefault="009A5525" w:rsidP="009A5525">
      <w:pPr>
        <w:pStyle w:val="ListParagraph"/>
        <w:autoSpaceDE w:val="0"/>
        <w:autoSpaceDN w:val="0"/>
        <w:adjustRightInd w:val="0"/>
        <w:ind w:left="1440"/>
        <w:rPr>
          <w:rFonts w:ascii="Times New Roman" w:hAnsi="Times New Roman"/>
          <w:b/>
          <w:color w:val="000000"/>
          <w:szCs w:val="24"/>
        </w:rPr>
      </w:pPr>
    </w:p>
    <w:p w14:paraId="32BE467D" w14:textId="77777777" w:rsidR="00B65497" w:rsidRPr="0098678F" w:rsidRDefault="00B65497" w:rsidP="009A5525">
      <w:pPr>
        <w:autoSpaceDE w:val="0"/>
        <w:autoSpaceDN w:val="0"/>
        <w:adjustRightInd w:val="0"/>
        <w:rPr>
          <w:rFonts w:ascii="Times New Roman" w:hAnsi="Times New Roman"/>
          <w:b/>
          <w:i/>
          <w:color w:val="000000"/>
          <w:szCs w:val="24"/>
        </w:rPr>
      </w:pPr>
      <w:r w:rsidRPr="0098678F">
        <w:rPr>
          <w:rFonts w:ascii="Times New Roman" w:hAnsi="Times New Roman"/>
          <w:b/>
          <w:i/>
          <w:color w:val="000000"/>
          <w:szCs w:val="24"/>
        </w:rPr>
        <w:t>Leverage existing SDR validation processes to improve consistency and completeness of data reporting</w:t>
      </w:r>
    </w:p>
    <w:p w14:paraId="48A2E5A7" w14:textId="77777777" w:rsidR="00F27579" w:rsidRDefault="00F27579" w:rsidP="00F27579">
      <w:pPr>
        <w:autoSpaceDE w:val="0"/>
        <w:autoSpaceDN w:val="0"/>
        <w:adjustRightInd w:val="0"/>
        <w:rPr>
          <w:rFonts w:ascii="Times New Roman" w:hAnsi="Times New Roman"/>
          <w:color w:val="000000"/>
          <w:szCs w:val="24"/>
        </w:rPr>
      </w:pPr>
    </w:p>
    <w:p w14:paraId="2C511302" w14:textId="611CAFC2" w:rsidR="00D73369" w:rsidRDefault="005B1BFE" w:rsidP="00F27579">
      <w:pPr>
        <w:autoSpaceDE w:val="0"/>
        <w:autoSpaceDN w:val="0"/>
        <w:adjustRightInd w:val="0"/>
        <w:rPr>
          <w:rFonts w:ascii="Times New Roman" w:hAnsi="Times New Roman"/>
        </w:rPr>
      </w:pPr>
      <w:r>
        <w:rPr>
          <w:rFonts w:ascii="Times New Roman" w:hAnsi="Times New Roman"/>
        </w:rPr>
        <w:t xml:space="preserve">To date, </w:t>
      </w:r>
      <w:r w:rsidR="0030038C">
        <w:rPr>
          <w:rFonts w:ascii="Times New Roman" w:hAnsi="Times New Roman"/>
        </w:rPr>
        <w:t xml:space="preserve">each </w:t>
      </w:r>
      <w:r>
        <w:rPr>
          <w:rFonts w:ascii="Times New Roman" w:hAnsi="Times New Roman"/>
        </w:rPr>
        <w:t>SDR h</w:t>
      </w:r>
      <w:r w:rsidR="0030038C">
        <w:rPr>
          <w:rFonts w:ascii="Times New Roman" w:hAnsi="Times New Roman"/>
        </w:rPr>
        <w:t>as</w:t>
      </w:r>
      <w:r w:rsidR="00CF1635">
        <w:rPr>
          <w:rFonts w:ascii="Times New Roman" w:hAnsi="Times New Roman"/>
        </w:rPr>
        <w:t xml:space="preserve"> a</w:t>
      </w:r>
      <w:r>
        <w:rPr>
          <w:rFonts w:ascii="Times New Roman" w:hAnsi="Times New Roman"/>
        </w:rPr>
        <w:t xml:space="preserve"> </w:t>
      </w:r>
      <w:r w:rsidR="0030038C">
        <w:rPr>
          <w:rFonts w:ascii="Times New Roman" w:hAnsi="Times New Roman"/>
        </w:rPr>
        <w:t>well-established</w:t>
      </w:r>
      <w:r w:rsidR="00CF1635">
        <w:rPr>
          <w:rFonts w:ascii="Times New Roman" w:hAnsi="Times New Roman"/>
        </w:rPr>
        <w:t xml:space="preserve"> and unique</w:t>
      </w:r>
      <w:r>
        <w:rPr>
          <w:rFonts w:ascii="Times New Roman" w:hAnsi="Times New Roman"/>
        </w:rPr>
        <w:t xml:space="preserve"> approach to the validation of data</w:t>
      </w:r>
      <w:r w:rsidR="00970E42">
        <w:rPr>
          <w:rFonts w:ascii="Times New Roman" w:hAnsi="Times New Roman"/>
        </w:rPr>
        <w:t xml:space="preserve"> received.  To</w:t>
      </w:r>
      <w:r>
        <w:rPr>
          <w:rFonts w:ascii="Times New Roman" w:hAnsi="Times New Roman"/>
        </w:rPr>
        <w:t xml:space="preserve"> achieve data accuracy</w:t>
      </w:r>
      <w:r w:rsidR="00970E42">
        <w:rPr>
          <w:rFonts w:ascii="Times New Roman" w:hAnsi="Times New Roman"/>
        </w:rPr>
        <w:t xml:space="preserve"> </w:t>
      </w:r>
      <w:r w:rsidR="00901FD8">
        <w:rPr>
          <w:rFonts w:ascii="Times New Roman" w:hAnsi="Times New Roman"/>
        </w:rPr>
        <w:t xml:space="preserve">and </w:t>
      </w:r>
      <w:r w:rsidR="007072E0">
        <w:rPr>
          <w:rFonts w:ascii="Times New Roman" w:hAnsi="Times New Roman"/>
        </w:rPr>
        <w:t xml:space="preserve">completeness </w:t>
      </w:r>
      <w:r w:rsidR="007A35C6">
        <w:rPr>
          <w:rFonts w:ascii="Times New Roman" w:hAnsi="Times New Roman"/>
        </w:rPr>
        <w:t xml:space="preserve">whilst </w:t>
      </w:r>
      <w:r>
        <w:rPr>
          <w:rFonts w:ascii="Times New Roman" w:hAnsi="Times New Roman"/>
        </w:rPr>
        <w:t>limit</w:t>
      </w:r>
      <w:r w:rsidR="007A35C6">
        <w:rPr>
          <w:rFonts w:ascii="Times New Roman" w:hAnsi="Times New Roman"/>
        </w:rPr>
        <w:t>ing</w:t>
      </w:r>
      <w:r>
        <w:rPr>
          <w:rFonts w:ascii="Times New Roman" w:hAnsi="Times New Roman"/>
        </w:rPr>
        <w:t xml:space="preserve"> the impact on SDRs and reporting counterparties, the SDRs are supportive of leveraging existing validation processes</w:t>
      </w:r>
      <w:r w:rsidR="00970E42">
        <w:rPr>
          <w:rFonts w:ascii="Times New Roman" w:hAnsi="Times New Roman"/>
        </w:rPr>
        <w:t xml:space="preserve"> used by each SDR.  </w:t>
      </w:r>
      <w:r w:rsidR="00EF266E">
        <w:rPr>
          <w:rFonts w:ascii="Times New Roman" w:hAnsi="Times New Roman"/>
        </w:rPr>
        <w:t>Given the</w:t>
      </w:r>
      <w:r w:rsidR="00D73369">
        <w:rPr>
          <w:rFonts w:ascii="Times New Roman" w:hAnsi="Times New Roman"/>
        </w:rPr>
        <w:t xml:space="preserve"> </w:t>
      </w:r>
      <w:r w:rsidR="00901FD8">
        <w:rPr>
          <w:rFonts w:ascii="Times New Roman" w:hAnsi="Times New Roman"/>
        </w:rPr>
        <w:t xml:space="preserve">mature </w:t>
      </w:r>
      <w:r w:rsidR="00D73369">
        <w:rPr>
          <w:rFonts w:ascii="Times New Roman" w:hAnsi="Times New Roman"/>
        </w:rPr>
        <w:t>state of the SDRs’ existing systems</w:t>
      </w:r>
      <w:r w:rsidR="007A35C6">
        <w:rPr>
          <w:rFonts w:ascii="Times New Roman" w:hAnsi="Times New Roman"/>
        </w:rPr>
        <w:t xml:space="preserve"> and validations and the cost of modifying SDR systems</w:t>
      </w:r>
      <w:r w:rsidR="00D73369">
        <w:rPr>
          <w:rFonts w:ascii="Times New Roman" w:hAnsi="Times New Roman"/>
        </w:rPr>
        <w:t>, the SDRs request that the Commission limit the amount of system re-architecture required.  The more extensive the changes</w:t>
      </w:r>
      <w:r w:rsidR="00E675E8">
        <w:rPr>
          <w:rFonts w:ascii="Times New Roman" w:hAnsi="Times New Roman"/>
        </w:rPr>
        <w:t xml:space="preserve"> required to be made</w:t>
      </w:r>
      <w:r w:rsidR="00D73369">
        <w:rPr>
          <w:rFonts w:ascii="Times New Roman" w:hAnsi="Times New Roman"/>
        </w:rPr>
        <w:t xml:space="preserve">, the more lead </w:t>
      </w:r>
      <w:r w:rsidR="00E675E8">
        <w:rPr>
          <w:rFonts w:ascii="Times New Roman" w:hAnsi="Times New Roman"/>
        </w:rPr>
        <w:t xml:space="preserve">time </w:t>
      </w:r>
      <w:r w:rsidR="00D73369">
        <w:rPr>
          <w:rFonts w:ascii="Times New Roman" w:hAnsi="Times New Roman"/>
        </w:rPr>
        <w:t>the SDRs wi</w:t>
      </w:r>
      <w:r w:rsidR="007072E0">
        <w:rPr>
          <w:rFonts w:ascii="Times New Roman" w:hAnsi="Times New Roman"/>
        </w:rPr>
        <w:t>ll</w:t>
      </w:r>
      <w:r w:rsidR="00E675E8">
        <w:rPr>
          <w:rFonts w:ascii="Times New Roman" w:hAnsi="Times New Roman"/>
        </w:rPr>
        <w:t xml:space="preserve"> require for implementation.  This </w:t>
      </w:r>
      <w:r w:rsidR="007072E0">
        <w:rPr>
          <w:rFonts w:ascii="Times New Roman" w:hAnsi="Times New Roman"/>
        </w:rPr>
        <w:t>will</w:t>
      </w:r>
      <w:r w:rsidR="00E675E8">
        <w:rPr>
          <w:rFonts w:ascii="Times New Roman" w:hAnsi="Times New Roman"/>
        </w:rPr>
        <w:t xml:space="preserve"> result in increased</w:t>
      </w:r>
      <w:r w:rsidR="007072E0">
        <w:rPr>
          <w:rFonts w:ascii="Times New Roman" w:hAnsi="Times New Roman"/>
        </w:rPr>
        <w:t xml:space="preserve"> costs on SDRs and reporting counterparties.</w:t>
      </w:r>
    </w:p>
    <w:p w14:paraId="3D52F750" w14:textId="77777777" w:rsidR="00D73369" w:rsidRDefault="00D73369" w:rsidP="00F27579">
      <w:pPr>
        <w:autoSpaceDE w:val="0"/>
        <w:autoSpaceDN w:val="0"/>
        <w:adjustRightInd w:val="0"/>
        <w:rPr>
          <w:rFonts w:ascii="Times New Roman" w:hAnsi="Times New Roman"/>
        </w:rPr>
      </w:pPr>
    </w:p>
    <w:p w14:paraId="32E68BC2" w14:textId="3CF4016F" w:rsidR="00583E2D" w:rsidRPr="005B1BFE" w:rsidRDefault="00970E42" w:rsidP="00F27579">
      <w:pPr>
        <w:autoSpaceDE w:val="0"/>
        <w:autoSpaceDN w:val="0"/>
        <w:adjustRightInd w:val="0"/>
        <w:rPr>
          <w:rFonts w:ascii="Times New Roman" w:hAnsi="Times New Roman"/>
        </w:rPr>
      </w:pPr>
      <w:r>
        <w:rPr>
          <w:rFonts w:ascii="Times New Roman" w:hAnsi="Times New Roman"/>
        </w:rPr>
        <w:lastRenderedPageBreak/>
        <w:t>A</w:t>
      </w:r>
      <w:r w:rsidR="0078652D">
        <w:rPr>
          <w:rFonts w:ascii="Times New Roman" w:hAnsi="Times New Roman"/>
        </w:rPr>
        <w:t xml:space="preserve">s detailed </w:t>
      </w:r>
      <w:r w:rsidR="00CF1635">
        <w:rPr>
          <w:rFonts w:ascii="Times New Roman" w:hAnsi="Times New Roman"/>
        </w:rPr>
        <w:t>above</w:t>
      </w:r>
      <w:r>
        <w:rPr>
          <w:rFonts w:ascii="Times New Roman" w:hAnsi="Times New Roman"/>
        </w:rPr>
        <w:t xml:space="preserve">, to further limit the impact of changes on reporting counterparties and SDRs, we would request that the Commission </w:t>
      </w:r>
      <w:r w:rsidR="00205AA7">
        <w:rPr>
          <w:rFonts w:ascii="Times New Roman" w:hAnsi="Times New Roman"/>
        </w:rPr>
        <w:t>provide flexibility to the SDRs to capture data in the manner and form that the SDRs see fit, so long as the data made available to the Commission conforms to the prescribed values and is in the mandated format.</w:t>
      </w:r>
      <w:r w:rsidR="00476B3B">
        <w:rPr>
          <w:rFonts w:ascii="Times New Roman" w:hAnsi="Times New Roman"/>
        </w:rPr>
        <w:t xml:space="preserve">  This approach </w:t>
      </w:r>
      <w:r w:rsidR="0078652D">
        <w:rPr>
          <w:rFonts w:ascii="Times New Roman" w:hAnsi="Times New Roman"/>
        </w:rPr>
        <w:t xml:space="preserve">would have the added advantage of allowing </w:t>
      </w:r>
      <w:r w:rsidR="00D542BD">
        <w:rPr>
          <w:rFonts w:ascii="Times New Roman" w:hAnsi="Times New Roman"/>
        </w:rPr>
        <w:t>each SDR</w:t>
      </w:r>
      <w:r w:rsidR="0078652D">
        <w:rPr>
          <w:rFonts w:ascii="Times New Roman" w:hAnsi="Times New Roman"/>
        </w:rPr>
        <w:t xml:space="preserve"> to leverage the</w:t>
      </w:r>
      <w:r w:rsidR="00583BC6">
        <w:rPr>
          <w:rFonts w:ascii="Times New Roman" w:hAnsi="Times New Roman"/>
        </w:rPr>
        <w:t>ir</w:t>
      </w:r>
      <w:r w:rsidR="0078652D">
        <w:rPr>
          <w:rFonts w:ascii="Times New Roman" w:hAnsi="Times New Roman"/>
        </w:rPr>
        <w:t xml:space="preserve"> </w:t>
      </w:r>
      <w:r w:rsidR="00476B3B" w:rsidRPr="0078652D">
        <w:rPr>
          <w:rFonts w:ascii="Times New Roman" w:hAnsi="Times New Roman"/>
        </w:rPr>
        <w:t>extensive</w:t>
      </w:r>
      <w:r w:rsidR="00583BC6">
        <w:rPr>
          <w:rFonts w:ascii="Times New Roman" w:hAnsi="Times New Roman"/>
        </w:rPr>
        <w:t xml:space="preserve"> existing </w:t>
      </w:r>
      <w:r w:rsidR="00476B3B" w:rsidRPr="0078652D">
        <w:rPr>
          <w:rFonts w:ascii="Times New Roman" w:hAnsi="Times New Roman"/>
        </w:rPr>
        <w:t xml:space="preserve">validations </w:t>
      </w:r>
      <w:r w:rsidR="00E85185">
        <w:rPr>
          <w:rFonts w:ascii="Times New Roman" w:hAnsi="Times New Roman"/>
        </w:rPr>
        <w:t xml:space="preserve">processes </w:t>
      </w:r>
      <w:r w:rsidR="00476B3B" w:rsidRPr="0078652D">
        <w:rPr>
          <w:rFonts w:ascii="Times New Roman" w:hAnsi="Times New Roman"/>
        </w:rPr>
        <w:t>to deliver consistent, high quality data</w:t>
      </w:r>
      <w:r w:rsidR="00D542BD">
        <w:rPr>
          <w:rFonts w:ascii="Times New Roman" w:hAnsi="Times New Roman"/>
        </w:rPr>
        <w:t xml:space="preserve"> as opposed to having to make significant modifications or create </w:t>
      </w:r>
      <w:r w:rsidR="00583BC6">
        <w:rPr>
          <w:rFonts w:ascii="Times New Roman" w:hAnsi="Times New Roman"/>
        </w:rPr>
        <w:t xml:space="preserve">new </w:t>
      </w:r>
      <w:r w:rsidR="00D542BD">
        <w:rPr>
          <w:rFonts w:ascii="Times New Roman" w:hAnsi="Times New Roman"/>
        </w:rPr>
        <w:t>validation</w:t>
      </w:r>
      <w:r w:rsidR="00E85185">
        <w:rPr>
          <w:rFonts w:ascii="Times New Roman" w:hAnsi="Times New Roman"/>
        </w:rPr>
        <w:t xml:space="preserve"> processe</w:t>
      </w:r>
      <w:r w:rsidR="00D542BD">
        <w:rPr>
          <w:rFonts w:ascii="Times New Roman" w:hAnsi="Times New Roman"/>
        </w:rPr>
        <w:t>s</w:t>
      </w:r>
      <w:r w:rsidR="00476B3B" w:rsidRPr="0078652D">
        <w:rPr>
          <w:rFonts w:ascii="Times New Roman" w:hAnsi="Times New Roman"/>
        </w:rPr>
        <w:t>.</w:t>
      </w:r>
    </w:p>
    <w:p w14:paraId="518C6732" w14:textId="77777777" w:rsidR="00970E42" w:rsidRDefault="00970E42" w:rsidP="00F27579">
      <w:pPr>
        <w:autoSpaceDE w:val="0"/>
        <w:autoSpaceDN w:val="0"/>
        <w:adjustRightInd w:val="0"/>
        <w:rPr>
          <w:rFonts w:ascii="Calibri" w:hAnsi="Calibri"/>
          <w:color w:val="0070C0"/>
        </w:rPr>
      </w:pPr>
    </w:p>
    <w:p w14:paraId="125FBB37" w14:textId="53B5608C" w:rsidR="00615140" w:rsidRPr="00CF1635" w:rsidRDefault="00970E42" w:rsidP="00F27579">
      <w:pPr>
        <w:autoSpaceDE w:val="0"/>
        <w:autoSpaceDN w:val="0"/>
        <w:adjustRightInd w:val="0"/>
        <w:rPr>
          <w:rFonts w:ascii="Times New Roman" w:hAnsi="Times New Roman"/>
        </w:rPr>
      </w:pPr>
      <w:r w:rsidRPr="00205AA7">
        <w:rPr>
          <w:rFonts w:ascii="Times New Roman" w:hAnsi="Times New Roman"/>
        </w:rPr>
        <w:t xml:space="preserve">To the extent </w:t>
      </w:r>
      <w:r w:rsidR="00F43ADB" w:rsidRPr="00205AA7">
        <w:rPr>
          <w:rFonts w:ascii="Times New Roman" w:hAnsi="Times New Roman"/>
        </w:rPr>
        <w:t>th</w:t>
      </w:r>
      <w:r w:rsidR="00F43ADB">
        <w:rPr>
          <w:rFonts w:ascii="Times New Roman" w:hAnsi="Times New Roman"/>
        </w:rPr>
        <w:t>e</w:t>
      </w:r>
      <w:r w:rsidR="00F43ADB" w:rsidRPr="00205AA7">
        <w:rPr>
          <w:rFonts w:ascii="Times New Roman" w:hAnsi="Times New Roman"/>
        </w:rPr>
        <w:t xml:space="preserve"> </w:t>
      </w:r>
      <w:r w:rsidRPr="00205AA7">
        <w:rPr>
          <w:rFonts w:ascii="Times New Roman" w:hAnsi="Times New Roman"/>
        </w:rPr>
        <w:t xml:space="preserve">Commission intends to make modifications to the fields and validations on fields, the SDRs request the opportunity to be involved in the drafting process.   </w:t>
      </w:r>
      <w:r w:rsidR="00E06083">
        <w:rPr>
          <w:rFonts w:ascii="Times New Roman" w:hAnsi="Times New Roman"/>
        </w:rPr>
        <w:t>While w</w:t>
      </w:r>
      <w:r w:rsidR="00D542BD">
        <w:rPr>
          <w:rFonts w:ascii="Times New Roman" w:hAnsi="Times New Roman"/>
        </w:rPr>
        <w:t xml:space="preserve">e </w:t>
      </w:r>
      <w:r w:rsidR="00E06083">
        <w:rPr>
          <w:rFonts w:ascii="Times New Roman" w:hAnsi="Times New Roman"/>
        </w:rPr>
        <w:t xml:space="preserve">are </w:t>
      </w:r>
      <w:r w:rsidR="00D542BD">
        <w:rPr>
          <w:rFonts w:ascii="Times New Roman" w:hAnsi="Times New Roman"/>
        </w:rPr>
        <w:t xml:space="preserve">agnostic as to whether </w:t>
      </w:r>
      <w:r w:rsidR="00DF6F9E">
        <w:rPr>
          <w:rFonts w:ascii="Times New Roman" w:hAnsi="Times New Roman"/>
        </w:rPr>
        <w:t>such modifications</w:t>
      </w:r>
      <w:r w:rsidR="00D542BD">
        <w:rPr>
          <w:rFonts w:ascii="Times New Roman" w:hAnsi="Times New Roman"/>
        </w:rPr>
        <w:t xml:space="preserve"> are accomplished by the SDRs working collaboratively to develop </w:t>
      </w:r>
      <w:r w:rsidR="00E06083" w:rsidRPr="00E06083">
        <w:rPr>
          <w:rFonts w:ascii="Times New Roman" w:hAnsi="Times New Roman"/>
        </w:rPr>
        <w:t xml:space="preserve">suggested minimum validations </w:t>
      </w:r>
      <w:r w:rsidR="00E06083">
        <w:rPr>
          <w:rFonts w:ascii="Times New Roman" w:hAnsi="Times New Roman"/>
        </w:rPr>
        <w:t>or by the Commission developing such validations, we believe</w:t>
      </w:r>
      <w:r w:rsidR="00DF6F9E">
        <w:rPr>
          <w:rFonts w:ascii="Times New Roman" w:hAnsi="Times New Roman"/>
        </w:rPr>
        <w:t xml:space="preserve"> inclusion of</w:t>
      </w:r>
      <w:r w:rsidR="00E06083">
        <w:rPr>
          <w:rFonts w:ascii="Times New Roman" w:hAnsi="Times New Roman"/>
        </w:rPr>
        <w:t xml:space="preserve"> the SDRs</w:t>
      </w:r>
      <w:r w:rsidR="00DF6F9E">
        <w:rPr>
          <w:rFonts w:ascii="Times New Roman" w:hAnsi="Times New Roman"/>
        </w:rPr>
        <w:t xml:space="preserve"> in the process </w:t>
      </w:r>
      <w:r w:rsidR="00583BC6">
        <w:rPr>
          <w:rFonts w:ascii="Times New Roman" w:hAnsi="Times New Roman"/>
        </w:rPr>
        <w:t>will help</w:t>
      </w:r>
      <w:r w:rsidR="00DF6F9E">
        <w:rPr>
          <w:rFonts w:ascii="Times New Roman" w:hAnsi="Times New Roman"/>
        </w:rPr>
        <w:t xml:space="preserve"> </w:t>
      </w:r>
      <w:r w:rsidR="00E06083">
        <w:rPr>
          <w:rFonts w:ascii="Times New Roman" w:hAnsi="Times New Roman"/>
        </w:rPr>
        <w:t>the</w:t>
      </w:r>
      <w:r w:rsidR="00D73369">
        <w:rPr>
          <w:rFonts w:ascii="Times New Roman" w:hAnsi="Times New Roman"/>
        </w:rPr>
        <w:t xml:space="preserve"> Commission achiev</w:t>
      </w:r>
      <w:r w:rsidR="00DF6F9E">
        <w:rPr>
          <w:rFonts w:ascii="Times New Roman" w:hAnsi="Times New Roman"/>
        </w:rPr>
        <w:t>e</w:t>
      </w:r>
      <w:r w:rsidR="00D73369">
        <w:rPr>
          <w:rFonts w:ascii="Times New Roman" w:hAnsi="Times New Roman"/>
        </w:rPr>
        <w:t xml:space="preserve"> its goals.  </w:t>
      </w:r>
    </w:p>
    <w:p w14:paraId="7D9DDC7B" w14:textId="77777777" w:rsidR="00AD161B" w:rsidRDefault="00AD161B" w:rsidP="00AD161B">
      <w:pPr>
        <w:autoSpaceDE w:val="0"/>
        <w:autoSpaceDN w:val="0"/>
        <w:adjustRightInd w:val="0"/>
        <w:rPr>
          <w:rFonts w:ascii="Times New Roman" w:hAnsi="Times New Roman"/>
          <w:color w:val="000000"/>
          <w:szCs w:val="24"/>
        </w:rPr>
      </w:pPr>
    </w:p>
    <w:p w14:paraId="2C206108" w14:textId="77777777" w:rsidR="00B65497" w:rsidRPr="0098678F" w:rsidRDefault="00B65497" w:rsidP="00AD161B">
      <w:pPr>
        <w:autoSpaceDE w:val="0"/>
        <w:autoSpaceDN w:val="0"/>
        <w:adjustRightInd w:val="0"/>
        <w:rPr>
          <w:rFonts w:ascii="Times New Roman" w:hAnsi="Times New Roman"/>
          <w:b/>
          <w:i/>
          <w:color w:val="000000"/>
          <w:szCs w:val="24"/>
        </w:rPr>
      </w:pPr>
      <w:r w:rsidRPr="0098678F">
        <w:rPr>
          <w:rFonts w:ascii="Times New Roman" w:hAnsi="Times New Roman"/>
          <w:b/>
          <w:i/>
          <w:color w:val="000000"/>
          <w:szCs w:val="24"/>
        </w:rPr>
        <w:t>Work with SDRs to setup processes for rejecting swap data reports with missing or invalid data</w:t>
      </w:r>
    </w:p>
    <w:p w14:paraId="71373D9B" w14:textId="77777777" w:rsidR="0098678F" w:rsidRPr="0098678F" w:rsidRDefault="0098678F" w:rsidP="00AD161B">
      <w:pPr>
        <w:autoSpaceDE w:val="0"/>
        <w:autoSpaceDN w:val="0"/>
        <w:adjustRightInd w:val="0"/>
        <w:rPr>
          <w:rFonts w:ascii="Times New Roman" w:hAnsi="Times New Roman"/>
          <w:b/>
          <w:color w:val="000000"/>
          <w:szCs w:val="24"/>
        </w:rPr>
      </w:pPr>
    </w:p>
    <w:p w14:paraId="6F434B02" w14:textId="4EE7E50F" w:rsidR="000B779B" w:rsidRDefault="000B779B" w:rsidP="00AD161B">
      <w:pPr>
        <w:autoSpaceDE w:val="0"/>
        <w:autoSpaceDN w:val="0"/>
        <w:adjustRightInd w:val="0"/>
        <w:rPr>
          <w:rFonts w:ascii="Times New Roman" w:hAnsi="Times New Roman"/>
          <w:color w:val="000000"/>
          <w:szCs w:val="24"/>
        </w:rPr>
      </w:pPr>
      <w:r>
        <w:rPr>
          <w:rFonts w:ascii="Times New Roman" w:hAnsi="Times New Roman"/>
          <w:color w:val="000000"/>
          <w:szCs w:val="24"/>
        </w:rPr>
        <w:t>The SDRs are supportive of implementing processes for rejecting reports with missing or invalid data</w:t>
      </w:r>
      <w:r w:rsidR="007A35C6">
        <w:rPr>
          <w:rStyle w:val="FootnoteReference"/>
          <w:rFonts w:ascii="Times New Roman" w:hAnsi="Times New Roman"/>
          <w:color w:val="000000"/>
          <w:szCs w:val="24"/>
        </w:rPr>
        <w:footnoteReference w:id="3"/>
      </w:r>
      <w:r>
        <w:rPr>
          <w:rFonts w:ascii="Times New Roman" w:hAnsi="Times New Roman"/>
          <w:color w:val="000000"/>
          <w:szCs w:val="24"/>
        </w:rPr>
        <w:t xml:space="preserve">.  </w:t>
      </w:r>
      <w:r w:rsidR="00DC5FC6">
        <w:rPr>
          <w:rFonts w:ascii="Times New Roman" w:hAnsi="Times New Roman"/>
          <w:color w:val="000000"/>
          <w:szCs w:val="24"/>
        </w:rPr>
        <w:t>The SDRs request the Commission consider implementing new processes once the CFTC has harmonized</w:t>
      </w:r>
      <w:r>
        <w:rPr>
          <w:rFonts w:ascii="Times New Roman" w:hAnsi="Times New Roman"/>
          <w:color w:val="000000"/>
          <w:szCs w:val="24"/>
        </w:rPr>
        <w:t xml:space="preserve"> its fields with other jurisdictions.</w:t>
      </w:r>
      <w:r w:rsidR="00DC5FC6">
        <w:rPr>
          <w:rFonts w:ascii="Times New Roman" w:hAnsi="Times New Roman"/>
          <w:color w:val="000000"/>
          <w:szCs w:val="24"/>
        </w:rPr>
        <w:t xml:space="preserve"> Prematurely imposing requirements on the SDRs, could result in additional changes being </w:t>
      </w:r>
      <w:r w:rsidR="00901FD8">
        <w:rPr>
          <w:rFonts w:ascii="Times New Roman" w:hAnsi="Times New Roman"/>
          <w:color w:val="000000"/>
          <w:szCs w:val="24"/>
        </w:rPr>
        <w:t xml:space="preserve">required </w:t>
      </w:r>
      <w:r w:rsidR="00DC5FC6">
        <w:rPr>
          <w:rFonts w:ascii="Times New Roman" w:hAnsi="Times New Roman"/>
          <w:color w:val="000000"/>
          <w:szCs w:val="24"/>
        </w:rPr>
        <w:t xml:space="preserve">shortly after to conform with global standards. </w:t>
      </w:r>
    </w:p>
    <w:p w14:paraId="03A1748E" w14:textId="77777777" w:rsidR="000B779B" w:rsidRDefault="000B779B" w:rsidP="00AD161B">
      <w:pPr>
        <w:autoSpaceDE w:val="0"/>
        <w:autoSpaceDN w:val="0"/>
        <w:adjustRightInd w:val="0"/>
        <w:rPr>
          <w:rFonts w:ascii="Times New Roman" w:hAnsi="Times New Roman"/>
          <w:color w:val="000000"/>
          <w:szCs w:val="24"/>
        </w:rPr>
      </w:pPr>
    </w:p>
    <w:p w14:paraId="6401238E" w14:textId="557C64D0" w:rsidR="00AD161B" w:rsidRDefault="00DC5FC6" w:rsidP="00AD161B">
      <w:pPr>
        <w:autoSpaceDE w:val="0"/>
        <w:autoSpaceDN w:val="0"/>
        <w:adjustRightInd w:val="0"/>
        <w:rPr>
          <w:rFonts w:ascii="Times New Roman" w:hAnsi="Times New Roman"/>
          <w:color w:val="000000"/>
          <w:szCs w:val="24"/>
        </w:rPr>
      </w:pPr>
      <w:r>
        <w:rPr>
          <w:rFonts w:ascii="Times New Roman" w:hAnsi="Times New Roman"/>
          <w:color w:val="000000"/>
          <w:szCs w:val="24"/>
        </w:rPr>
        <w:t>Furthermore, t</w:t>
      </w:r>
      <w:r w:rsidR="00C45975">
        <w:rPr>
          <w:rFonts w:ascii="Times New Roman" w:hAnsi="Times New Roman"/>
          <w:color w:val="000000"/>
          <w:szCs w:val="24"/>
        </w:rPr>
        <w:t xml:space="preserve">o date, the SDRs have taken varying approaches to missing or invalid data.  For consistency across SDRs and globally, the SDRs recommend implementing validations on the inbound submissions, such that </w:t>
      </w:r>
      <w:r w:rsidR="00EA1D05">
        <w:rPr>
          <w:rFonts w:ascii="Times New Roman" w:hAnsi="Times New Roman"/>
          <w:color w:val="000000"/>
          <w:szCs w:val="24"/>
        </w:rPr>
        <w:t>where a</w:t>
      </w:r>
      <w:r w:rsidR="00C45975">
        <w:rPr>
          <w:rFonts w:ascii="Times New Roman" w:hAnsi="Times New Roman"/>
          <w:color w:val="000000"/>
          <w:szCs w:val="24"/>
        </w:rPr>
        <w:t xml:space="preserve"> </w:t>
      </w:r>
      <w:r w:rsidR="00EA1D05">
        <w:rPr>
          <w:rFonts w:ascii="Times New Roman" w:hAnsi="Times New Roman"/>
          <w:color w:val="000000"/>
          <w:szCs w:val="24"/>
        </w:rPr>
        <w:t xml:space="preserve">required </w:t>
      </w:r>
      <w:r w:rsidR="00C45975">
        <w:rPr>
          <w:rFonts w:ascii="Times New Roman" w:hAnsi="Times New Roman"/>
          <w:color w:val="000000"/>
          <w:szCs w:val="24"/>
        </w:rPr>
        <w:t>field</w:t>
      </w:r>
      <w:r w:rsidR="00EA1D05">
        <w:rPr>
          <w:rFonts w:ascii="Times New Roman" w:hAnsi="Times New Roman"/>
          <w:color w:val="000000"/>
          <w:szCs w:val="24"/>
        </w:rPr>
        <w:t xml:space="preserve"> is blank</w:t>
      </w:r>
      <w:r w:rsidR="00C45975">
        <w:rPr>
          <w:rFonts w:ascii="Times New Roman" w:hAnsi="Times New Roman"/>
          <w:color w:val="000000"/>
          <w:szCs w:val="24"/>
        </w:rPr>
        <w:t xml:space="preserve"> or invalid data </w:t>
      </w:r>
      <w:r w:rsidR="00EA1D05">
        <w:rPr>
          <w:rFonts w:ascii="Times New Roman" w:hAnsi="Times New Roman"/>
          <w:color w:val="000000"/>
          <w:szCs w:val="24"/>
        </w:rPr>
        <w:t>is provided</w:t>
      </w:r>
      <w:r w:rsidR="00583BC6">
        <w:rPr>
          <w:rFonts w:ascii="Times New Roman" w:hAnsi="Times New Roman"/>
          <w:color w:val="000000"/>
          <w:szCs w:val="24"/>
        </w:rPr>
        <w:t>,</w:t>
      </w:r>
      <w:r w:rsidR="00EA1D05">
        <w:rPr>
          <w:rFonts w:ascii="Times New Roman" w:hAnsi="Times New Roman"/>
          <w:color w:val="000000"/>
          <w:szCs w:val="24"/>
        </w:rPr>
        <w:t xml:space="preserve"> </w:t>
      </w:r>
      <w:r w:rsidR="00C45975">
        <w:rPr>
          <w:rFonts w:ascii="Times New Roman" w:hAnsi="Times New Roman"/>
          <w:color w:val="000000"/>
          <w:szCs w:val="24"/>
        </w:rPr>
        <w:t xml:space="preserve">a </w:t>
      </w:r>
      <w:r w:rsidR="000B779B">
        <w:rPr>
          <w:rFonts w:ascii="Times New Roman" w:hAnsi="Times New Roman"/>
          <w:color w:val="000000"/>
          <w:szCs w:val="24"/>
        </w:rPr>
        <w:t>report</w:t>
      </w:r>
      <w:r w:rsidR="00C45975">
        <w:rPr>
          <w:rFonts w:ascii="Times New Roman" w:hAnsi="Times New Roman"/>
          <w:color w:val="000000"/>
          <w:szCs w:val="24"/>
        </w:rPr>
        <w:t xml:space="preserve"> </w:t>
      </w:r>
      <w:r w:rsidR="00EA1D05">
        <w:rPr>
          <w:rFonts w:ascii="Times New Roman" w:hAnsi="Times New Roman"/>
          <w:color w:val="000000"/>
          <w:szCs w:val="24"/>
        </w:rPr>
        <w:t xml:space="preserve">will </w:t>
      </w:r>
      <w:r w:rsidR="00C45975">
        <w:rPr>
          <w:rFonts w:ascii="Times New Roman" w:hAnsi="Times New Roman"/>
          <w:color w:val="000000"/>
          <w:szCs w:val="24"/>
        </w:rPr>
        <w:t>be rejected.</w:t>
      </w:r>
      <w:r w:rsidR="00EA1D05">
        <w:rPr>
          <w:rFonts w:ascii="Times New Roman" w:hAnsi="Times New Roman"/>
          <w:color w:val="000000"/>
          <w:szCs w:val="24"/>
        </w:rPr>
        <w:t xml:space="preserve">  This should not be read to recommend that all SDRs be directed to implement the exact same validations on the inbound submission</w:t>
      </w:r>
      <w:r w:rsidR="00F43ADB">
        <w:rPr>
          <w:rFonts w:ascii="Times New Roman" w:hAnsi="Times New Roman"/>
          <w:color w:val="000000"/>
          <w:szCs w:val="24"/>
        </w:rPr>
        <w:t>.</w:t>
      </w:r>
      <w:r w:rsidR="00EA1D05">
        <w:rPr>
          <w:rFonts w:ascii="Times New Roman" w:hAnsi="Times New Roman"/>
          <w:color w:val="000000"/>
          <w:szCs w:val="24"/>
        </w:rPr>
        <w:t xml:space="preserve"> </w:t>
      </w:r>
      <w:r w:rsidR="00F43ADB">
        <w:rPr>
          <w:rFonts w:ascii="Times New Roman" w:hAnsi="Times New Roman"/>
          <w:color w:val="000000"/>
          <w:szCs w:val="24"/>
        </w:rPr>
        <w:t>R</w:t>
      </w:r>
      <w:r w:rsidR="00EA1D05">
        <w:rPr>
          <w:rFonts w:ascii="Times New Roman" w:hAnsi="Times New Roman"/>
          <w:color w:val="000000"/>
          <w:szCs w:val="24"/>
        </w:rPr>
        <w:t>ather</w:t>
      </w:r>
      <w:r w:rsidR="00583BC6">
        <w:rPr>
          <w:rFonts w:ascii="Times New Roman" w:hAnsi="Times New Roman"/>
          <w:color w:val="000000"/>
          <w:szCs w:val="24"/>
        </w:rPr>
        <w:t>,</w:t>
      </w:r>
      <w:r w:rsidR="00EA1D05">
        <w:rPr>
          <w:rFonts w:ascii="Times New Roman" w:hAnsi="Times New Roman"/>
          <w:color w:val="000000"/>
          <w:szCs w:val="24"/>
        </w:rPr>
        <w:t xml:space="preserve"> </w:t>
      </w:r>
      <w:r w:rsidR="00951447">
        <w:rPr>
          <w:rFonts w:ascii="Times New Roman" w:hAnsi="Times New Roman"/>
          <w:color w:val="000000"/>
          <w:szCs w:val="24"/>
        </w:rPr>
        <w:t>any validations</w:t>
      </w:r>
      <w:r w:rsidR="00EA1D05">
        <w:rPr>
          <w:rFonts w:ascii="Times New Roman" w:hAnsi="Times New Roman"/>
          <w:color w:val="000000"/>
          <w:szCs w:val="24"/>
        </w:rPr>
        <w:t xml:space="preserve"> implemented should be designed to</w:t>
      </w:r>
      <w:r w:rsidR="00951447">
        <w:rPr>
          <w:rFonts w:ascii="Times New Roman" w:hAnsi="Times New Roman"/>
          <w:color w:val="000000"/>
          <w:szCs w:val="24"/>
        </w:rPr>
        <w:t xml:space="preserve"> allow the SDR to provide prescribed values</w:t>
      </w:r>
      <w:r w:rsidR="00951447" w:rsidRPr="00951447">
        <w:rPr>
          <w:rFonts w:ascii="Times New Roman" w:hAnsi="Times New Roman"/>
          <w:color w:val="000000"/>
          <w:szCs w:val="24"/>
        </w:rPr>
        <w:t xml:space="preserve"> in the mandated format</w:t>
      </w:r>
      <w:r w:rsidR="00951447">
        <w:rPr>
          <w:rFonts w:ascii="Times New Roman" w:hAnsi="Times New Roman"/>
          <w:color w:val="000000"/>
          <w:szCs w:val="24"/>
        </w:rPr>
        <w:t xml:space="preserve"> to the Commission.</w:t>
      </w:r>
    </w:p>
    <w:p w14:paraId="1ABDF2BA" w14:textId="77777777" w:rsidR="00C45975" w:rsidRDefault="00C45975" w:rsidP="00AD161B">
      <w:pPr>
        <w:autoSpaceDE w:val="0"/>
        <w:autoSpaceDN w:val="0"/>
        <w:adjustRightInd w:val="0"/>
        <w:rPr>
          <w:rFonts w:ascii="Times New Roman" w:hAnsi="Times New Roman"/>
          <w:color w:val="000000"/>
          <w:szCs w:val="24"/>
        </w:rPr>
      </w:pPr>
    </w:p>
    <w:p w14:paraId="041591E1" w14:textId="77777777" w:rsidR="00B65497" w:rsidRPr="0098678F" w:rsidRDefault="00B65497" w:rsidP="00AD161B">
      <w:pPr>
        <w:autoSpaceDE w:val="0"/>
        <w:autoSpaceDN w:val="0"/>
        <w:adjustRightInd w:val="0"/>
        <w:rPr>
          <w:rFonts w:ascii="Times New Roman" w:hAnsi="Times New Roman"/>
          <w:b/>
          <w:i/>
          <w:color w:val="000000"/>
          <w:szCs w:val="24"/>
        </w:rPr>
      </w:pPr>
      <w:r w:rsidRPr="0098678F">
        <w:rPr>
          <w:rFonts w:ascii="Times New Roman" w:hAnsi="Times New Roman"/>
          <w:b/>
          <w:i/>
          <w:color w:val="000000"/>
          <w:szCs w:val="24"/>
        </w:rPr>
        <w:t>Identify initial set of minimum validations including blank/not blank validations and some allowable values and format validations where appropriate</w:t>
      </w:r>
    </w:p>
    <w:p w14:paraId="4A8A2314" w14:textId="77777777" w:rsidR="007C0EAC" w:rsidRDefault="007C0EAC" w:rsidP="00AD161B">
      <w:pPr>
        <w:autoSpaceDE w:val="0"/>
        <w:autoSpaceDN w:val="0"/>
        <w:adjustRightInd w:val="0"/>
        <w:rPr>
          <w:rFonts w:ascii="Times New Roman" w:hAnsi="Times New Roman"/>
          <w:i/>
          <w:color w:val="000000"/>
          <w:szCs w:val="24"/>
        </w:rPr>
      </w:pPr>
    </w:p>
    <w:p w14:paraId="307094E7" w14:textId="3AAE6506" w:rsidR="007C0EAC" w:rsidRDefault="007C0EAC" w:rsidP="007C0EAC">
      <w:pPr>
        <w:autoSpaceDE w:val="0"/>
        <w:autoSpaceDN w:val="0"/>
        <w:adjustRightInd w:val="0"/>
        <w:rPr>
          <w:rFonts w:ascii="Times New Roman" w:hAnsi="Times New Roman"/>
          <w:color w:val="000000"/>
          <w:szCs w:val="24"/>
        </w:rPr>
      </w:pPr>
      <w:r>
        <w:rPr>
          <w:rFonts w:ascii="Times New Roman" w:hAnsi="Times New Roman"/>
          <w:color w:val="000000"/>
          <w:szCs w:val="24"/>
        </w:rPr>
        <w:t xml:space="preserve">As noted, </w:t>
      </w:r>
      <w:r w:rsidR="00086DD5">
        <w:rPr>
          <w:rFonts w:ascii="Times New Roman" w:hAnsi="Times New Roman"/>
          <w:color w:val="000000"/>
          <w:szCs w:val="24"/>
        </w:rPr>
        <w:t>th</w:t>
      </w:r>
      <w:r w:rsidR="00901FD8">
        <w:rPr>
          <w:rFonts w:ascii="Times New Roman" w:hAnsi="Times New Roman"/>
          <w:color w:val="000000"/>
          <w:szCs w:val="24"/>
        </w:rPr>
        <w:t>e</w:t>
      </w:r>
      <w:r w:rsidR="00086DD5">
        <w:rPr>
          <w:rFonts w:ascii="Times New Roman" w:hAnsi="Times New Roman"/>
          <w:color w:val="000000"/>
          <w:szCs w:val="24"/>
        </w:rPr>
        <w:t xml:space="preserve"> SDRs are supportive of </w:t>
      </w:r>
      <w:r w:rsidRPr="007C0EAC">
        <w:rPr>
          <w:rFonts w:ascii="Times New Roman" w:hAnsi="Times New Roman"/>
          <w:color w:val="000000"/>
          <w:szCs w:val="24"/>
        </w:rPr>
        <w:t>implement</w:t>
      </w:r>
      <w:r w:rsidR="00086DD5">
        <w:rPr>
          <w:rFonts w:ascii="Times New Roman" w:hAnsi="Times New Roman"/>
          <w:color w:val="000000"/>
          <w:szCs w:val="24"/>
        </w:rPr>
        <w:t>ing</w:t>
      </w:r>
      <w:r w:rsidRPr="007C0EAC">
        <w:rPr>
          <w:rFonts w:ascii="Times New Roman" w:hAnsi="Times New Roman"/>
          <w:color w:val="000000"/>
          <w:szCs w:val="24"/>
        </w:rPr>
        <w:t xml:space="preserve"> validations on fields </w:t>
      </w:r>
      <w:r w:rsidR="00086DD5">
        <w:rPr>
          <w:rFonts w:ascii="Times New Roman" w:hAnsi="Times New Roman"/>
          <w:color w:val="000000"/>
          <w:szCs w:val="24"/>
        </w:rPr>
        <w:t xml:space="preserve">one time and </w:t>
      </w:r>
      <w:r w:rsidRPr="007C0EAC">
        <w:rPr>
          <w:rFonts w:ascii="Times New Roman" w:hAnsi="Times New Roman"/>
          <w:color w:val="000000"/>
          <w:szCs w:val="24"/>
        </w:rPr>
        <w:t xml:space="preserve">as part of global harmonization efforts.  </w:t>
      </w:r>
      <w:r>
        <w:rPr>
          <w:rFonts w:ascii="Times New Roman" w:hAnsi="Times New Roman"/>
          <w:color w:val="000000"/>
          <w:szCs w:val="24"/>
        </w:rPr>
        <w:t>The SDRs</w:t>
      </w:r>
      <w:r w:rsidRPr="007C0EAC">
        <w:rPr>
          <w:rFonts w:ascii="Times New Roman" w:hAnsi="Times New Roman"/>
          <w:color w:val="000000"/>
          <w:szCs w:val="24"/>
        </w:rPr>
        <w:t xml:space="preserve"> rec</w:t>
      </w:r>
      <w:r>
        <w:rPr>
          <w:rFonts w:ascii="Times New Roman" w:hAnsi="Times New Roman"/>
          <w:color w:val="000000"/>
          <w:szCs w:val="24"/>
        </w:rPr>
        <w:t>ommend waiting to implement validations on fields until</w:t>
      </w:r>
      <w:r w:rsidRPr="007C0EAC">
        <w:rPr>
          <w:rFonts w:ascii="Times New Roman" w:hAnsi="Times New Roman"/>
          <w:color w:val="000000"/>
          <w:szCs w:val="24"/>
        </w:rPr>
        <w:t xml:space="preserve"> the Commission has finalized the fields it will require as part of global harmonization efforts and otherwise. </w:t>
      </w:r>
    </w:p>
    <w:p w14:paraId="6A0D2534" w14:textId="77777777" w:rsidR="007C0EAC" w:rsidRDefault="007C0EAC" w:rsidP="007C0EAC">
      <w:pPr>
        <w:autoSpaceDE w:val="0"/>
        <w:autoSpaceDN w:val="0"/>
        <w:adjustRightInd w:val="0"/>
        <w:rPr>
          <w:rFonts w:ascii="Times New Roman" w:hAnsi="Times New Roman"/>
          <w:color w:val="000000"/>
          <w:szCs w:val="24"/>
        </w:rPr>
      </w:pPr>
    </w:p>
    <w:p w14:paraId="15591A14" w14:textId="77777777" w:rsidR="007C0EAC" w:rsidRDefault="007C0EAC" w:rsidP="007C0EAC">
      <w:pPr>
        <w:autoSpaceDE w:val="0"/>
        <w:autoSpaceDN w:val="0"/>
        <w:adjustRightInd w:val="0"/>
        <w:rPr>
          <w:rFonts w:ascii="Times New Roman" w:hAnsi="Times New Roman"/>
          <w:i/>
          <w:color w:val="000000"/>
          <w:szCs w:val="24"/>
        </w:rPr>
      </w:pPr>
      <w:r>
        <w:rPr>
          <w:rFonts w:ascii="Times New Roman" w:hAnsi="Times New Roman"/>
          <w:color w:val="000000"/>
          <w:szCs w:val="24"/>
        </w:rPr>
        <w:lastRenderedPageBreak/>
        <w:t xml:space="preserve">The SDRs </w:t>
      </w:r>
      <w:r w:rsidRPr="007C0EAC">
        <w:rPr>
          <w:rFonts w:ascii="Times New Roman" w:hAnsi="Times New Roman"/>
          <w:color w:val="000000"/>
          <w:szCs w:val="24"/>
        </w:rPr>
        <w:t>request that the Commission coordinate these efforts with other jurisdictions</w:t>
      </w:r>
      <w:r w:rsidR="00A057FB">
        <w:rPr>
          <w:rStyle w:val="FootnoteReference"/>
          <w:rFonts w:ascii="Times New Roman" w:hAnsi="Times New Roman"/>
          <w:color w:val="000000"/>
          <w:szCs w:val="24"/>
        </w:rPr>
        <w:footnoteReference w:id="4"/>
      </w:r>
      <w:r w:rsidRPr="007C0EAC">
        <w:rPr>
          <w:rFonts w:ascii="Times New Roman" w:hAnsi="Times New Roman"/>
          <w:color w:val="000000"/>
          <w:szCs w:val="24"/>
        </w:rPr>
        <w:t xml:space="preserve"> so market participants can work toward a</w:t>
      </w:r>
      <w:r>
        <w:rPr>
          <w:rFonts w:ascii="Times New Roman" w:hAnsi="Times New Roman"/>
          <w:color w:val="000000"/>
          <w:szCs w:val="24"/>
        </w:rPr>
        <w:t xml:space="preserve"> harmonized set of expectations.  The SDRs would expect that the harmonized efforts not be limited to</w:t>
      </w:r>
      <w:r w:rsidRPr="007C0EAC">
        <w:rPr>
          <w:rFonts w:ascii="Times New Roman" w:hAnsi="Times New Roman"/>
          <w:color w:val="000000"/>
          <w:szCs w:val="24"/>
        </w:rPr>
        <w:t xml:space="preserve"> fields to be reported but also the description of the field, allowable values and formats</w:t>
      </w:r>
      <w:r w:rsidR="00E675E8">
        <w:rPr>
          <w:rFonts w:ascii="Times New Roman" w:hAnsi="Times New Roman"/>
          <w:color w:val="000000"/>
          <w:szCs w:val="24"/>
        </w:rPr>
        <w:t>, and</w:t>
      </w:r>
      <w:r w:rsidRPr="007C0EAC">
        <w:rPr>
          <w:rFonts w:ascii="Times New Roman" w:hAnsi="Times New Roman"/>
          <w:color w:val="000000"/>
          <w:szCs w:val="24"/>
        </w:rPr>
        <w:t xml:space="preserve"> the validations on those fields. </w:t>
      </w:r>
      <w:r>
        <w:rPr>
          <w:rFonts w:ascii="Times New Roman" w:hAnsi="Times New Roman"/>
          <w:color w:val="000000"/>
          <w:szCs w:val="24"/>
        </w:rPr>
        <w:t xml:space="preserve"> </w:t>
      </w:r>
      <w:r w:rsidRPr="007C0EAC">
        <w:rPr>
          <w:rFonts w:ascii="Times New Roman" w:hAnsi="Times New Roman"/>
          <w:color w:val="000000"/>
          <w:szCs w:val="24"/>
        </w:rPr>
        <w:t>However, we would request</w:t>
      </w:r>
      <w:r w:rsidR="001E4B3C">
        <w:rPr>
          <w:rFonts w:ascii="Times New Roman" w:hAnsi="Times New Roman"/>
          <w:color w:val="000000"/>
          <w:szCs w:val="24"/>
        </w:rPr>
        <w:t>, as detailed previously,</w:t>
      </w:r>
      <w:r w:rsidRPr="007C0EAC">
        <w:rPr>
          <w:rFonts w:ascii="Times New Roman" w:hAnsi="Times New Roman"/>
          <w:color w:val="000000"/>
          <w:szCs w:val="24"/>
        </w:rPr>
        <w:t xml:space="preserve"> that an SDR have the flexibility to capture the data on input however they see fit </w:t>
      </w:r>
      <w:r w:rsidR="001E4B3C">
        <w:rPr>
          <w:rFonts w:ascii="Times New Roman" w:hAnsi="Times New Roman"/>
          <w:color w:val="000000"/>
          <w:szCs w:val="24"/>
        </w:rPr>
        <w:t>so</w:t>
      </w:r>
      <w:r w:rsidRPr="007C0EAC">
        <w:rPr>
          <w:rFonts w:ascii="Times New Roman" w:hAnsi="Times New Roman"/>
          <w:color w:val="000000"/>
          <w:szCs w:val="24"/>
        </w:rPr>
        <w:t xml:space="preserve"> long as the data made available to the Commission conforms to the allowable values and format set forth.   This will allow the SDRs to use existing fields and values </w:t>
      </w:r>
      <w:r w:rsidR="001E4B3C">
        <w:rPr>
          <w:rFonts w:ascii="Times New Roman" w:hAnsi="Times New Roman"/>
          <w:color w:val="000000"/>
          <w:szCs w:val="24"/>
        </w:rPr>
        <w:t>provided</w:t>
      </w:r>
      <w:r w:rsidRPr="007C0EAC">
        <w:rPr>
          <w:rFonts w:ascii="Times New Roman" w:hAnsi="Times New Roman"/>
          <w:color w:val="000000"/>
          <w:szCs w:val="24"/>
        </w:rPr>
        <w:t xml:space="preserve"> they yield the same information required b</w:t>
      </w:r>
      <w:r w:rsidR="00D61E3B">
        <w:rPr>
          <w:rFonts w:ascii="Times New Roman" w:hAnsi="Times New Roman"/>
          <w:color w:val="000000"/>
          <w:szCs w:val="24"/>
        </w:rPr>
        <w:t>y the Commission</w:t>
      </w:r>
      <w:r w:rsidR="00583BC6">
        <w:rPr>
          <w:rStyle w:val="FootnoteReference"/>
          <w:rFonts w:ascii="Times New Roman" w:hAnsi="Times New Roman"/>
          <w:color w:val="000000"/>
          <w:szCs w:val="24"/>
        </w:rPr>
        <w:footnoteReference w:id="5"/>
      </w:r>
      <w:r w:rsidR="00D61E3B">
        <w:rPr>
          <w:rFonts w:ascii="Times New Roman" w:hAnsi="Times New Roman"/>
          <w:color w:val="000000"/>
          <w:szCs w:val="24"/>
        </w:rPr>
        <w:t>.</w:t>
      </w:r>
    </w:p>
    <w:p w14:paraId="164A311B" w14:textId="77777777" w:rsidR="009802CB" w:rsidRDefault="009802CB" w:rsidP="007C0EAC">
      <w:pPr>
        <w:autoSpaceDE w:val="0"/>
        <w:autoSpaceDN w:val="0"/>
        <w:adjustRightInd w:val="0"/>
        <w:rPr>
          <w:rFonts w:ascii="Times New Roman" w:hAnsi="Times New Roman"/>
          <w:i/>
          <w:color w:val="000000"/>
          <w:szCs w:val="24"/>
        </w:rPr>
      </w:pPr>
    </w:p>
    <w:p w14:paraId="374AA95B" w14:textId="77777777" w:rsidR="009802CB" w:rsidRDefault="009802CB" w:rsidP="007C0EAC">
      <w:pPr>
        <w:autoSpaceDE w:val="0"/>
        <w:autoSpaceDN w:val="0"/>
        <w:adjustRightInd w:val="0"/>
        <w:rPr>
          <w:rFonts w:ascii="Times New Roman" w:hAnsi="Times New Roman"/>
          <w:color w:val="000000"/>
          <w:szCs w:val="24"/>
        </w:rPr>
      </w:pPr>
      <w:r>
        <w:rPr>
          <w:rFonts w:ascii="Times New Roman" w:hAnsi="Times New Roman"/>
          <w:color w:val="000000"/>
          <w:szCs w:val="24"/>
        </w:rPr>
        <w:t>This said, the SDRs request that the Commission set forth a defined list of validations that should be implemented with clear, specific guidance.  Minimally, this should include, standardization of field names, an indication of how and when validations should be performed, a description of the validations that the SDRs are to implement inclusive of a description of the outcome the Commission hopes to achieve with each validation, as well as ongoing public Q &amp; A documentation, which may be used to define uniform standards for atypical scenarios for use by market participants and SDRs uniformly.</w:t>
      </w:r>
    </w:p>
    <w:p w14:paraId="464FEC03" w14:textId="77777777" w:rsidR="00731019" w:rsidRDefault="00731019" w:rsidP="007C0EAC">
      <w:pPr>
        <w:autoSpaceDE w:val="0"/>
        <w:autoSpaceDN w:val="0"/>
        <w:adjustRightInd w:val="0"/>
        <w:rPr>
          <w:rFonts w:ascii="Times New Roman" w:hAnsi="Times New Roman"/>
          <w:color w:val="000000"/>
          <w:szCs w:val="24"/>
        </w:rPr>
      </w:pPr>
    </w:p>
    <w:p w14:paraId="031E14C6" w14:textId="6E60DDD4" w:rsidR="00731019" w:rsidRPr="00731019" w:rsidRDefault="00731019" w:rsidP="00731019">
      <w:pPr>
        <w:autoSpaceDE w:val="0"/>
        <w:autoSpaceDN w:val="0"/>
        <w:adjustRightInd w:val="0"/>
        <w:rPr>
          <w:rFonts w:ascii="Times New Roman" w:hAnsi="Times New Roman"/>
          <w:color w:val="000000"/>
          <w:szCs w:val="24"/>
        </w:rPr>
      </w:pPr>
      <w:r w:rsidRPr="00731019">
        <w:rPr>
          <w:rFonts w:ascii="Times New Roman" w:hAnsi="Times New Roman"/>
          <w:color w:val="000000"/>
          <w:szCs w:val="24"/>
        </w:rPr>
        <w:t xml:space="preserve">Additionally, </w:t>
      </w:r>
      <w:r>
        <w:rPr>
          <w:rFonts w:ascii="Times New Roman" w:hAnsi="Times New Roman"/>
          <w:color w:val="000000"/>
          <w:szCs w:val="24"/>
        </w:rPr>
        <w:t>t</w:t>
      </w:r>
      <w:r w:rsidRPr="00731019">
        <w:rPr>
          <w:rFonts w:ascii="Times New Roman" w:hAnsi="Times New Roman"/>
          <w:color w:val="000000"/>
          <w:szCs w:val="24"/>
        </w:rPr>
        <w:t xml:space="preserve">o the extent that data can be validated against a golden source (i.e. </w:t>
      </w:r>
      <w:r w:rsidR="005F7ECC" w:rsidRPr="00731019">
        <w:rPr>
          <w:rFonts w:ascii="Times New Roman" w:hAnsi="Times New Roman"/>
          <w:color w:val="000000"/>
          <w:szCs w:val="24"/>
        </w:rPr>
        <w:t>GL</w:t>
      </w:r>
      <w:r w:rsidR="005F7ECC">
        <w:rPr>
          <w:rFonts w:ascii="Times New Roman" w:hAnsi="Times New Roman"/>
          <w:color w:val="000000"/>
          <w:szCs w:val="24"/>
        </w:rPr>
        <w:t>EI</w:t>
      </w:r>
      <w:r w:rsidR="005F7ECC" w:rsidRPr="00731019">
        <w:rPr>
          <w:rFonts w:ascii="Times New Roman" w:hAnsi="Times New Roman"/>
          <w:color w:val="000000"/>
          <w:szCs w:val="24"/>
        </w:rPr>
        <w:t>F</w:t>
      </w:r>
      <w:r w:rsidRPr="00731019">
        <w:rPr>
          <w:rFonts w:ascii="Times New Roman" w:hAnsi="Times New Roman"/>
          <w:color w:val="000000"/>
          <w:szCs w:val="24"/>
        </w:rPr>
        <w:t xml:space="preserve">), it should be required.  </w:t>
      </w:r>
      <w:r w:rsidR="00D10ADC">
        <w:rPr>
          <w:rFonts w:ascii="Times New Roman" w:hAnsi="Times New Roman"/>
          <w:color w:val="000000"/>
          <w:szCs w:val="24"/>
        </w:rPr>
        <w:t xml:space="preserve">The SDRs would like to see the fields that can be validated against a public source, like </w:t>
      </w:r>
      <w:r w:rsidR="005F7ECC">
        <w:rPr>
          <w:rFonts w:ascii="Times New Roman" w:hAnsi="Times New Roman"/>
          <w:color w:val="000000"/>
          <w:szCs w:val="24"/>
        </w:rPr>
        <w:t>GLEIF</w:t>
      </w:r>
      <w:r w:rsidR="00D10ADC">
        <w:rPr>
          <w:rFonts w:ascii="Times New Roman" w:hAnsi="Times New Roman"/>
          <w:color w:val="000000"/>
          <w:szCs w:val="24"/>
        </w:rPr>
        <w:t xml:space="preserve">, expanded </w:t>
      </w:r>
      <w:r w:rsidRPr="00731019">
        <w:rPr>
          <w:rFonts w:ascii="Times New Roman" w:hAnsi="Times New Roman"/>
          <w:color w:val="000000"/>
          <w:szCs w:val="24"/>
        </w:rPr>
        <w:t xml:space="preserve">beyond LEIs </w:t>
      </w:r>
      <w:r w:rsidR="00A77081">
        <w:rPr>
          <w:rFonts w:ascii="Times New Roman" w:hAnsi="Times New Roman"/>
          <w:color w:val="000000"/>
          <w:szCs w:val="24"/>
        </w:rPr>
        <w:t xml:space="preserve">where possible (i.e., registration status in reportable jurisdictions - </w:t>
      </w:r>
      <w:r w:rsidRPr="00731019">
        <w:rPr>
          <w:rFonts w:ascii="Times New Roman" w:hAnsi="Times New Roman"/>
          <w:color w:val="000000"/>
          <w:szCs w:val="24"/>
        </w:rPr>
        <w:t>S</w:t>
      </w:r>
      <w:r w:rsidR="00A77081">
        <w:rPr>
          <w:rFonts w:ascii="Times New Roman" w:hAnsi="Times New Roman"/>
          <w:color w:val="000000"/>
          <w:szCs w:val="24"/>
        </w:rPr>
        <w:t>wap Dealer</w:t>
      </w:r>
      <w:r w:rsidRPr="00731019">
        <w:rPr>
          <w:rFonts w:ascii="Times New Roman" w:hAnsi="Times New Roman"/>
          <w:color w:val="000000"/>
          <w:szCs w:val="24"/>
        </w:rPr>
        <w:t xml:space="preserve"> etc</w:t>
      </w:r>
      <w:r w:rsidR="00A77081">
        <w:rPr>
          <w:rFonts w:ascii="Times New Roman" w:hAnsi="Times New Roman"/>
          <w:color w:val="000000"/>
          <w:szCs w:val="24"/>
        </w:rPr>
        <w:t>.)</w:t>
      </w:r>
      <w:r w:rsidRPr="00731019">
        <w:rPr>
          <w:rFonts w:ascii="Times New Roman" w:hAnsi="Times New Roman"/>
          <w:color w:val="000000"/>
          <w:szCs w:val="24"/>
        </w:rPr>
        <w:t>.</w:t>
      </w:r>
      <w:r w:rsidR="00D10ADC">
        <w:rPr>
          <w:rFonts w:ascii="Times New Roman" w:hAnsi="Times New Roman"/>
          <w:color w:val="000000"/>
          <w:szCs w:val="24"/>
        </w:rPr>
        <w:t xml:space="preserve">  It</w:t>
      </w:r>
      <w:r>
        <w:rPr>
          <w:rFonts w:ascii="Times New Roman" w:hAnsi="Times New Roman"/>
          <w:color w:val="000000"/>
          <w:szCs w:val="24"/>
        </w:rPr>
        <w:t xml:space="preserve"> will help to reduce costs</w:t>
      </w:r>
      <w:r w:rsidR="00A77081" w:rsidRPr="00A77081">
        <w:rPr>
          <w:rFonts w:ascii="Times New Roman" w:hAnsi="Times New Roman"/>
          <w:color w:val="000000"/>
          <w:szCs w:val="24"/>
        </w:rPr>
        <w:t xml:space="preserve"> </w:t>
      </w:r>
      <w:r w:rsidR="00A77081">
        <w:rPr>
          <w:rFonts w:ascii="Times New Roman" w:hAnsi="Times New Roman"/>
          <w:color w:val="000000"/>
          <w:szCs w:val="24"/>
        </w:rPr>
        <w:t xml:space="preserve">and increase data accuracy </w:t>
      </w:r>
      <w:r>
        <w:rPr>
          <w:rFonts w:ascii="Times New Roman" w:hAnsi="Times New Roman"/>
          <w:color w:val="000000"/>
          <w:szCs w:val="24"/>
        </w:rPr>
        <w:t>for SDRs and reporting counterparties</w:t>
      </w:r>
      <w:r w:rsidR="00A77081">
        <w:rPr>
          <w:rFonts w:ascii="Times New Roman" w:hAnsi="Times New Roman"/>
          <w:color w:val="000000"/>
          <w:szCs w:val="24"/>
        </w:rPr>
        <w:t xml:space="preserve"> </w:t>
      </w:r>
      <w:r w:rsidR="00D10ADC">
        <w:rPr>
          <w:rFonts w:ascii="Times New Roman" w:hAnsi="Times New Roman"/>
          <w:color w:val="000000"/>
          <w:szCs w:val="24"/>
        </w:rPr>
        <w:t>if generally static data</w:t>
      </w:r>
      <w:r>
        <w:rPr>
          <w:rFonts w:ascii="Times New Roman" w:hAnsi="Times New Roman"/>
          <w:color w:val="000000"/>
          <w:szCs w:val="24"/>
        </w:rPr>
        <w:t xml:space="preserve"> maintained in a pub</w:t>
      </w:r>
      <w:r w:rsidR="00D10ADC">
        <w:rPr>
          <w:rFonts w:ascii="Times New Roman" w:hAnsi="Times New Roman"/>
          <w:color w:val="000000"/>
          <w:szCs w:val="24"/>
        </w:rPr>
        <w:t xml:space="preserve">lic database, such as </w:t>
      </w:r>
      <w:r w:rsidR="005F7ECC">
        <w:rPr>
          <w:rFonts w:ascii="Times New Roman" w:hAnsi="Times New Roman"/>
          <w:color w:val="000000"/>
          <w:szCs w:val="24"/>
        </w:rPr>
        <w:t>GLEIF</w:t>
      </w:r>
      <w:r w:rsidR="00D10ADC">
        <w:rPr>
          <w:rFonts w:ascii="Times New Roman" w:hAnsi="Times New Roman"/>
          <w:color w:val="000000"/>
          <w:szCs w:val="24"/>
        </w:rPr>
        <w:t>,</w:t>
      </w:r>
      <w:r>
        <w:rPr>
          <w:rFonts w:ascii="Times New Roman" w:hAnsi="Times New Roman"/>
          <w:color w:val="000000"/>
          <w:szCs w:val="24"/>
        </w:rPr>
        <w:t xml:space="preserve"> could be used for validation purposes by the SDRs.</w:t>
      </w:r>
      <w:r w:rsidR="00A77081">
        <w:rPr>
          <w:rFonts w:ascii="Times New Roman" w:hAnsi="Times New Roman"/>
          <w:color w:val="000000"/>
          <w:szCs w:val="24"/>
        </w:rPr>
        <w:t xml:space="preserve"> </w:t>
      </w:r>
    </w:p>
    <w:p w14:paraId="340F8FB3" w14:textId="77777777" w:rsidR="00AD161B" w:rsidRPr="00AD161B" w:rsidRDefault="00AD161B" w:rsidP="00AD161B">
      <w:pPr>
        <w:autoSpaceDE w:val="0"/>
        <w:autoSpaceDN w:val="0"/>
        <w:adjustRightInd w:val="0"/>
        <w:rPr>
          <w:rFonts w:ascii="Times New Roman" w:hAnsi="Times New Roman"/>
          <w:i/>
          <w:color w:val="000000"/>
          <w:szCs w:val="24"/>
        </w:rPr>
      </w:pPr>
    </w:p>
    <w:p w14:paraId="5408A078" w14:textId="77777777" w:rsidR="00B65497" w:rsidRDefault="00B65497" w:rsidP="007C0EAC">
      <w:pPr>
        <w:pStyle w:val="ListParagraph"/>
        <w:numPr>
          <w:ilvl w:val="1"/>
          <w:numId w:val="6"/>
        </w:numPr>
        <w:autoSpaceDE w:val="0"/>
        <w:autoSpaceDN w:val="0"/>
        <w:adjustRightInd w:val="0"/>
        <w:rPr>
          <w:rFonts w:ascii="Times New Roman" w:hAnsi="Times New Roman"/>
          <w:b/>
          <w:color w:val="000000"/>
          <w:szCs w:val="24"/>
        </w:rPr>
      </w:pPr>
      <w:r>
        <w:rPr>
          <w:rFonts w:ascii="Times New Roman" w:hAnsi="Times New Roman"/>
          <w:b/>
          <w:color w:val="000000"/>
          <w:szCs w:val="24"/>
        </w:rPr>
        <w:t>Ensure Counterparties Confirm Accuracy of SDR Data</w:t>
      </w:r>
    </w:p>
    <w:p w14:paraId="6A00EF49" w14:textId="77777777" w:rsidR="000B779B" w:rsidRDefault="000B779B" w:rsidP="000B779B">
      <w:pPr>
        <w:autoSpaceDE w:val="0"/>
        <w:autoSpaceDN w:val="0"/>
        <w:adjustRightInd w:val="0"/>
        <w:rPr>
          <w:rFonts w:ascii="Times New Roman" w:hAnsi="Times New Roman"/>
          <w:i/>
          <w:color w:val="000000"/>
          <w:szCs w:val="24"/>
        </w:rPr>
      </w:pPr>
    </w:p>
    <w:p w14:paraId="40E8BF9A" w14:textId="77777777" w:rsidR="00B65497" w:rsidRPr="00791A8D" w:rsidRDefault="00B65497" w:rsidP="000B779B">
      <w:pPr>
        <w:autoSpaceDE w:val="0"/>
        <w:autoSpaceDN w:val="0"/>
        <w:adjustRightInd w:val="0"/>
        <w:rPr>
          <w:rFonts w:ascii="Times New Roman" w:hAnsi="Times New Roman"/>
          <w:b/>
          <w:i/>
          <w:color w:val="000000"/>
          <w:szCs w:val="24"/>
        </w:rPr>
      </w:pPr>
      <w:r w:rsidRPr="00791A8D">
        <w:rPr>
          <w:rFonts w:ascii="Times New Roman" w:hAnsi="Times New Roman"/>
          <w:b/>
          <w:i/>
          <w:color w:val="000000"/>
          <w:szCs w:val="24"/>
        </w:rPr>
        <w:t>Identify most efficient and effective solution for swap counterparty(</w:t>
      </w:r>
      <w:proofErr w:type="spellStart"/>
      <w:r w:rsidRPr="00791A8D">
        <w:rPr>
          <w:rFonts w:ascii="Times New Roman" w:hAnsi="Times New Roman"/>
          <w:b/>
          <w:i/>
          <w:color w:val="000000"/>
          <w:szCs w:val="24"/>
        </w:rPr>
        <w:t>ies</w:t>
      </w:r>
      <w:proofErr w:type="spellEnd"/>
      <w:r w:rsidRPr="00791A8D">
        <w:rPr>
          <w:rFonts w:ascii="Times New Roman" w:hAnsi="Times New Roman"/>
          <w:b/>
          <w:i/>
          <w:color w:val="000000"/>
          <w:szCs w:val="24"/>
        </w:rPr>
        <w:t>) to confirm the accuracy and completeness of data held in an SDR</w:t>
      </w:r>
    </w:p>
    <w:p w14:paraId="3C0B48FE" w14:textId="77777777" w:rsidR="00687856" w:rsidRDefault="00687856" w:rsidP="000B779B">
      <w:pPr>
        <w:autoSpaceDE w:val="0"/>
        <w:autoSpaceDN w:val="0"/>
        <w:adjustRightInd w:val="0"/>
        <w:rPr>
          <w:rFonts w:ascii="Times New Roman" w:hAnsi="Times New Roman"/>
          <w:color w:val="000000"/>
          <w:szCs w:val="24"/>
        </w:rPr>
      </w:pPr>
    </w:p>
    <w:p w14:paraId="17FC0E25" w14:textId="3711EA83" w:rsidR="009A730C" w:rsidRDefault="00E5419B" w:rsidP="000B779B">
      <w:pPr>
        <w:autoSpaceDE w:val="0"/>
        <w:autoSpaceDN w:val="0"/>
        <w:adjustRightInd w:val="0"/>
        <w:rPr>
          <w:rFonts w:ascii="Times New Roman" w:hAnsi="Times New Roman"/>
          <w:color w:val="000000"/>
          <w:szCs w:val="24"/>
        </w:rPr>
      </w:pPr>
      <w:r>
        <w:rPr>
          <w:rFonts w:ascii="Times New Roman" w:hAnsi="Times New Roman"/>
          <w:color w:val="000000"/>
          <w:szCs w:val="24"/>
        </w:rPr>
        <w:t xml:space="preserve">The SDRs commend the Commission for </w:t>
      </w:r>
      <w:r w:rsidR="00BE7A63">
        <w:rPr>
          <w:rFonts w:ascii="Times New Roman" w:hAnsi="Times New Roman"/>
          <w:color w:val="000000"/>
          <w:szCs w:val="24"/>
        </w:rPr>
        <w:t xml:space="preserve">reviewing the requirements related to confirming accuracy and completeness of data reported to the SDRs.  </w:t>
      </w:r>
      <w:r w:rsidR="00ED528C" w:rsidRPr="00B72485">
        <w:rPr>
          <w:rFonts w:ascii="Times New Roman" w:hAnsi="Times New Roman"/>
          <w:szCs w:val="24"/>
        </w:rPr>
        <w:t xml:space="preserve">As drafted, the </w:t>
      </w:r>
      <w:r w:rsidR="00ED528C">
        <w:rPr>
          <w:rFonts w:ascii="Times New Roman" w:hAnsi="Times New Roman"/>
          <w:szCs w:val="24"/>
        </w:rPr>
        <w:t>r</w:t>
      </w:r>
      <w:r w:rsidR="00ED528C" w:rsidRPr="00B72485">
        <w:rPr>
          <w:rFonts w:ascii="Times New Roman" w:hAnsi="Times New Roman"/>
          <w:szCs w:val="24"/>
        </w:rPr>
        <w:t xml:space="preserve">eporting </w:t>
      </w:r>
      <w:r w:rsidR="00ED528C">
        <w:rPr>
          <w:rFonts w:ascii="Times New Roman" w:hAnsi="Times New Roman"/>
          <w:szCs w:val="24"/>
        </w:rPr>
        <w:t>r</w:t>
      </w:r>
      <w:r w:rsidR="00ED528C" w:rsidRPr="00B72485">
        <w:rPr>
          <w:rFonts w:ascii="Times New Roman" w:hAnsi="Times New Roman"/>
          <w:szCs w:val="24"/>
        </w:rPr>
        <w:t xml:space="preserve">ules are inconsistent and unclear as to the non-reporting counterparty’s obligations to verify the accuracy </w:t>
      </w:r>
      <w:r w:rsidR="00ED528C" w:rsidRPr="00B72485">
        <w:rPr>
          <w:rFonts w:ascii="Times New Roman" w:hAnsi="Times New Roman"/>
          <w:szCs w:val="24"/>
        </w:rPr>
        <w:lastRenderedPageBreak/>
        <w:t xml:space="preserve">of swap data reported on its behalf. </w:t>
      </w:r>
      <w:r w:rsidR="00ED528C">
        <w:rPr>
          <w:rFonts w:ascii="Times New Roman" w:hAnsi="Times New Roman"/>
          <w:szCs w:val="24"/>
        </w:rPr>
        <w:t xml:space="preserve">CFTC Regulation </w:t>
      </w:r>
      <w:r w:rsidR="00ED528C" w:rsidRPr="00B72485">
        <w:rPr>
          <w:rFonts w:ascii="Times New Roman" w:hAnsi="Times New Roman"/>
          <w:szCs w:val="24"/>
        </w:rPr>
        <w:t>§</w:t>
      </w:r>
      <w:r w:rsidR="00ED528C">
        <w:rPr>
          <w:rFonts w:ascii="Times New Roman" w:hAnsi="Times New Roman"/>
          <w:szCs w:val="24"/>
        </w:rPr>
        <w:t xml:space="preserve"> </w:t>
      </w:r>
      <w:r w:rsidR="00ED528C" w:rsidRPr="00B72485">
        <w:rPr>
          <w:rFonts w:ascii="Times New Roman" w:hAnsi="Times New Roman"/>
          <w:szCs w:val="24"/>
        </w:rPr>
        <w:t>49.11(b) states that the SDR must receive acknowledgement from both counterparties of data accuracy and any error corrections. However, Part 45 does not require an affirmative responsibility of the non-reporting counterparty to verify swap data. SDRs do not have the means to confirm the accuracy of reported swap data</w:t>
      </w:r>
      <w:r w:rsidR="00ED528C">
        <w:rPr>
          <w:rFonts w:ascii="Times New Roman" w:hAnsi="Times New Roman"/>
          <w:szCs w:val="24"/>
        </w:rPr>
        <w:t xml:space="preserve">. </w:t>
      </w:r>
      <w:r w:rsidR="008F596F">
        <w:rPr>
          <w:rFonts w:ascii="Times New Roman" w:hAnsi="Times New Roman"/>
          <w:color w:val="000000"/>
          <w:szCs w:val="24"/>
        </w:rPr>
        <w:t xml:space="preserve">CME and ICE believe that the </w:t>
      </w:r>
      <w:r w:rsidR="00976AFC">
        <w:rPr>
          <w:rFonts w:ascii="Times New Roman" w:hAnsi="Times New Roman"/>
          <w:color w:val="000000"/>
          <w:szCs w:val="24"/>
        </w:rPr>
        <w:t>o</w:t>
      </w:r>
      <w:r w:rsidR="00687856">
        <w:rPr>
          <w:rFonts w:ascii="Times New Roman" w:hAnsi="Times New Roman"/>
          <w:color w:val="000000"/>
          <w:szCs w:val="24"/>
        </w:rPr>
        <w:t xml:space="preserve">bligations to </w:t>
      </w:r>
      <w:r w:rsidR="00BE7A63">
        <w:rPr>
          <w:rFonts w:ascii="Times New Roman" w:hAnsi="Times New Roman"/>
          <w:color w:val="000000"/>
          <w:szCs w:val="24"/>
        </w:rPr>
        <w:t xml:space="preserve">confirm data </w:t>
      </w:r>
      <w:r w:rsidR="00687856">
        <w:rPr>
          <w:rFonts w:ascii="Times New Roman" w:hAnsi="Times New Roman"/>
          <w:color w:val="000000"/>
          <w:szCs w:val="24"/>
        </w:rPr>
        <w:t>accuracy</w:t>
      </w:r>
      <w:r w:rsidR="00BE7A63">
        <w:rPr>
          <w:rFonts w:ascii="Times New Roman" w:hAnsi="Times New Roman"/>
          <w:color w:val="000000"/>
          <w:szCs w:val="24"/>
        </w:rPr>
        <w:t xml:space="preserve"> and completeness</w:t>
      </w:r>
      <w:r w:rsidR="00687856">
        <w:rPr>
          <w:rFonts w:ascii="Times New Roman" w:hAnsi="Times New Roman"/>
          <w:color w:val="000000"/>
          <w:szCs w:val="24"/>
        </w:rPr>
        <w:t xml:space="preserve"> should </w:t>
      </w:r>
      <w:r w:rsidR="00A77081">
        <w:rPr>
          <w:rFonts w:ascii="Times New Roman" w:hAnsi="Times New Roman"/>
          <w:color w:val="000000"/>
          <w:szCs w:val="24"/>
        </w:rPr>
        <w:t xml:space="preserve">reside </w:t>
      </w:r>
      <w:r w:rsidR="00687856">
        <w:rPr>
          <w:rFonts w:ascii="Times New Roman" w:hAnsi="Times New Roman"/>
          <w:color w:val="000000"/>
          <w:szCs w:val="24"/>
        </w:rPr>
        <w:t xml:space="preserve">with </w:t>
      </w:r>
      <w:r w:rsidR="00C6398A">
        <w:rPr>
          <w:rFonts w:ascii="Times New Roman" w:hAnsi="Times New Roman"/>
          <w:color w:val="000000"/>
          <w:szCs w:val="24"/>
        </w:rPr>
        <w:t xml:space="preserve">those </w:t>
      </w:r>
      <w:r>
        <w:rPr>
          <w:rFonts w:ascii="Times New Roman" w:hAnsi="Times New Roman"/>
          <w:color w:val="000000"/>
          <w:szCs w:val="24"/>
        </w:rPr>
        <w:t xml:space="preserve">that </w:t>
      </w:r>
      <w:r w:rsidR="00C6398A">
        <w:rPr>
          <w:rFonts w:ascii="Times New Roman" w:hAnsi="Times New Roman"/>
          <w:color w:val="000000"/>
          <w:szCs w:val="24"/>
        </w:rPr>
        <w:t xml:space="preserve">are best positioned to know </w:t>
      </w:r>
      <w:r>
        <w:rPr>
          <w:rFonts w:ascii="Times New Roman" w:hAnsi="Times New Roman"/>
          <w:color w:val="000000"/>
          <w:szCs w:val="24"/>
        </w:rPr>
        <w:t>whether the data is accurate</w:t>
      </w:r>
      <w:r w:rsidR="00BE7A63">
        <w:rPr>
          <w:rFonts w:ascii="Times New Roman" w:hAnsi="Times New Roman"/>
          <w:color w:val="000000"/>
          <w:szCs w:val="24"/>
        </w:rPr>
        <w:t xml:space="preserve"> and complete</w:t>
      </w:r>
      <w:r w:rsidR="00ED528C">
        <w:rPr>
          <w:rFonts w:ascii="Times New Roman" w:hAnsi="Times New Roman"/>
          <w:color w:val="000000"/>
          <w:szCs w:val="24"/>
        </w:rPr>
        <w:t xml:space="preserve"> (i.e. the parties to the transaction)</w:t>
      </w:r>
      <w:r>
        <w:rPr>
          <w:rFonts w:ascii="Times New Roman" w:hAnsi="Times New Roman"/>
          <w:color w:val="000000"/>
          <w:szCs w:val="24"/>
        </w:rPr>
        <w:t>.</w:t>
      </w:r>
      <w:r w:rsidR="00BE7A63">
        <w:rPr>
          <w:rFonts w:ascii="Times New Roman" w:hAnsi="Times New Roman"/>
          <w:color w:val="000000"/>
          <w:szCs w:val="24"/>
        </w:rPr>
        <w:t xml:space="preserve">  </w:t>
      </w:r>
      <w:r w:rsidR="00976AFC">
        <w:rPr>
          <w:rFonts w:ascii="Times New Roman" w:hAnsi="Times New Roman"/>
          <w:color w:val="000000"/>
          <w:szCs w:val="24"/>
        </w:rPr>
        <w:t>The SDRs are not in such a position.</w:t>
      </w:r>
      <w:r>
        <w:rPr>
          <w:rFonts w:ascii="Times New Roman" w:hAnsi="Times New Roman"/>
          <w:color w:val="000000"/>
          <w:szCs w:val="24"/>
        </w:rPr>
        <w:t xml:space="preserve"> </w:t>
      </w:r>
      <w:r w:rsidR="00ED528C">
        <w:rPr>
          <w:rFonts w:ascii="Times New Roman" w:hAnsi="Times New Roman"/>
          <w:color w:val="000000"/>
          <w:szCs w:val="24"/>
        </w:rPr>
        <w:t xml:space="preserve">As </w:t>
      </w:r>
      <w:r w:rsidR="009A730C">
        <w:rPr>
          <w:rFonts w:ascii="Times New Roman" w:hAnsi="Times New Roman"/>
          <w:color w:val="000000"/>
          <w:szCs w:val="24"/>
        </w:rPr>
        <w:t xml:space="preserve">the SDRs are not counterparty to or a </w:t>
      </w:r>
      <w:r w:rsidR="009A730C" w:rsidRPr="00527D4C">
        <w:rPr>
          <w:rFonts w:ascii="Times New Roman" w:hAnsi="Times New Roman"/>
          <w:color w:val="000000"/>
          <w:szCs w:val="24"/>
        </w:rPr>
        <w:t>participant</w:t>
      </w:r>
      <w:r w:rsidR="00EF02FE">
        <w:rPr>
          <w:rFonts w:ascii="Times New Roman" w:hAnsi="Times New Roman"/>
          <w:color w:val="000000"/>
          <w:szCs w:val="24"/>
        </w:rPr>
        <w:t xml:space="preserve"> </w:t>
      </w:r>
      <w:r w:rsidR="009A730C">
        <w:rPr>
          <w:rFonts w:ascii="Times New Roman" w:hAnsi="Times New Roman"/>
          <w:color w:val="000000"/>
          <w:szCs w:val="24"/>
        </w:rPr>
        <w:t>in the transactions in any way, the extent of the SDRs’ ability to confirm accuracy of data received, is limited to field level validations including: e</w:t>
      </w:r>
      <w:r w:rsidR="009A730C" w:rsidRPr="009A730C">
        <w:rPr>
          <w:rFonts w:ascii="Times New Roman" w:hAnsi="Times New Roman"/>
          <w:color w:val="000000"/>
          <w:szCs w:val="24"/>
        </w:rPr>
        <w:t>nsuring a field is populated, if required or conditionally required</w:t>
      </w:r>
      <w:r w:rsidR="009A730C">
        <w:rPr>
          <w:rFonts w:ascii="Times New Roman" w:hAnsi="Times New Roman"/>
          <w:color w:val="000000"/>
          <w:szCs w:val="24"/>
        </w:rPr>
        <w:t>, e</w:t>
      </w:r>
      <w:r w:rsidR="009A730C" w:rsidRPr="009A730C">
        <w:rPr>
          <w:rFonts w:ascii="Times New Roman" w:hAnsi="Times New Roman"/>
          <w:color w:val="000000"/>
          <w:szCs w:val="24"/>
        </w:rPr>
        <w:t>nsuring a field is pop</w:t>
      </w:r>
      <w:r w:rsidR="009A730C">
        <w:rPr>
          <w:rFonts w:ascii="Times New Roman" w:hAnsi="Times New Roman"/>
          <w:color w:val="000000"/>
          <w:szCs w:val="24"/>
        </w:rPr>
        <w:t>ulated with an enumerated value; e</w:t>
      </w:r>
      <w:r w:rsidR="009A730C" w:rsidRPr="009A730C">
        <w:rPr>
          <w:rFonts w:ascii="Times New Roman" w:hAnsi="Times New Roman"/>
          <w:color w:val="000000"/>
          <w:szCs w:val="24"/>
        </w:rPr>
        <w:t>nsuring a field is populated with a value in the proper format (numeric, alphanumeric, date, time, etc.)</w:t>
      </w:r>
      <w:r w:rsidR="009A730C">
        <w:rPr>
          <w:rFonts w:ascii="Times New Roman" w:hAnsi="Times New Roman"/>
          <w:color w:val="000000"/>
          <w:szCs w:val="24"/>
        </w:rPr>
        <w:t>; and, e</w:t>
      </w:r>
      <w:r w:rsidR="009A730C" w:rsidRPr="009A730C">
        <w:rPr>
          <w:rFonts w:ascii="Times New Roman" w:hAnsi="Times New Roman"/>
          <w:color w:val="000000"/>
          <w:szCs w:val="24"/>
        </w:rPr>
        <w:t>nsuring a field is populated with a value that makes sense to that product and/or field.</w:t>
      </w:r>
      <w:r w:rsidR="009A730C">
        <w:rPr>
          <w:rFonts w:ascii="Times New Roman" w:hAnsi="Times New Roman"/>
          <w:color w:val="000000"/>
          <w:szCs w:val="24"/>
        </w:rPr>
        <w:t xml:space="preserve">  However, if a reporting counterparty has submitted a valid value, but in error (i.e. flipping buyer and seller, missing a zero in notional amount, etc.), the SDRs will not be able to identify such an error.</w:t>
      </w:r>
      <w:r w:rsidR="00222987">
        <w:rPr>
          <w:rFonts w:ascii="Times New Roman" w:hAnsi="Times New Roman"/>
          <w:color w:val="000000"/>
          <w:szCs w:val="24"/>
        </w:rPr>
        <w:t xml:space="preserve">  While the SDRs are agnostic as to which participants should be responsible for confirmation of data accuracy and completeness, the responsibility should not live with the SDRs.</w:t>
      </w:r>
    </w:p>
    <w:p w14:paraId="3BB75B10" w14:textId="77777777" w:rsidR="009A730C" w:rsidRDefault="009A730C" w:rsidP="000B779B">
      <w:pPr>
        <w:autoSpaceDE w:val="0"/>
        <w:autoSpaceDN w:val="0"/>
        <w:adjustRightInd w:val="0"/>
        <w:rPr>
          <w:rFonts w:ascii="Times New Roman" w:hAnsi="Times New Roman"/>
          <w:color w:val="000000"/>
          <w:szCs w:val="24"/>
        </w:rPr>
      </w:pPr>
    </w:p>
    <w:p w14:paraId="042D4271" w14:textId="6120E7B3" w:rsidR="00DF5754" w:rsidRDefault="00F43ADB" w:rsidP="000B779B">
      <w:pPr>
        <w:autoSpaceDE w:val="0"/>
        <w:autoSpaceDN w:val="0"/>
        <w:adjustRightInd w:val="0"/>
        <w:rPr>
          <w:rFonts w:ascii="Times New Roman" w:hAnsi="Times New Roman"/>
          <w:color w:val="000000"/>
          <w:szCs w:val="24"/>
        </w:rPr>
      </w:pPr>
      <w:r>
        <w:rPr>
          <w:rFonts w:ascii="Times New Roman" w:hAnsi="Times New Roman"/>
          <w:color w:val="000000"/>
          <w:szCs w:val="24"/>
        </w:rPr>
        <w:t xml:space="preserve">Though </w:t>
      </w:r>
      <w:r w:rsidR="003F48DC">
        <w:rPr>
          <w:rFonts w:ascii="Times New Roman" w:hAnsi="Times New Roman"/>
          <w:color w:val="000000"/>
          <w:szCs w:val="24"/>
        </w:rPr>
        <w:t>the SDRs have in place processes (whether by contractual term</w:t>
      </w:r>
      <w:r w:rsidR="00971E8C">
        <w:rPr>
          <w:rFonts w:ascii="Times New Roman" w:hAnsi="Times New Roman"/>
          <w:color w:val="000000"/>
          <w:szCs w:val="24"/>
        </w:rPr>
        <w:t>s</w:t>
      </w:r>
      <w:r w:rsidR="003F48DC">
        <w:rPr>
          <w:rFonts w:ascii="Times New Roman" w:hAnsi="Times New Roman"/>
          <w:color w:val="000000"/>
          <w:szCs w:val="24"/>
        </w:rPr>
        <w:t xml:space="preserve"> or mechanically) </w:t>
      </w:r>
      <w:r w:rsidR="002F2BE4">
        <w:rPr>
          <w:rFonts w:ascii="Times New Roman" w:hAnsi="Times New Roman"/>
          <w:color w:val="000000"/>
          <w:szCs w:val="24"/>
        </w:rPr>
        <w:t>for</w:t>
      </w:r>
      <w:r w:rsidR="003F48DC">
        <w:rPr>
          <w:rFonts w:ascii="Times New Roman" w:hAnsi="Times New Roman"/>
          <w:color w:val="000000"/>
          <w:szCs w:val="24"/>
        </w:rPr>
        <w:t xml:space="preserve"> the reporting counterparties </w:t>
      </w:r>
      <w:r w:rsidR="002F2BE4">
        <w:rPr>
          <w:rFonts w:ascii="Times New Roman" w:hAnsi="Times New Roman"/>
          <w:color w:val="000000"/>
          <w:szCs w:val="24"/>
        </w:rPr>
        <w:t xml:space="preserve">to </w:t>
      </w:r>
      <w:r w:rsidR="003F48DC">
        <w:rPr>
          <w:rFonts w:ascii="Times New Roman" w:hAnsi="Times New Roman"/>
          <w:color w:val="000000"/>
          <w:szCs w:val="24"/>
        </w:rPr>
        <w:t>confirm the accuracy of the data they submit, it is impossible to confirm accuracy with the non-reporting counterparties</w:t>
      </w:r>
      <w:r w:rsidR="002F2BE4">
        <w:rPr>
          <w:rFonts w:ascii="Times New Roman" w:hAnsi="Times New Roman"/>
          <w:color w:val="000000"/>
          <w:szCs w:val="24"/>
        </w:rPr>
        <w:t>,</w:t>
      </w:r>
      <w:r>
        <w:rPr>
          <w:rFonts w:ascii="Times New Roman" w:hAnsi="Times New Roman"/>
          <w:color w:val="000000"/>
          <w:szCs w:val="24"/>
        </w:rPr>
        <w:t xml:space="preserve"> </w:t>
      </w:r>
      <w:r w:rsidR="00976AFC">
        <w:rPr>
          <w:rFonts w:ascii="Times New Roman" w:hAnsi="Times New Roman"/>
          <w:color w:val="000000"/>
          <w:szCs w:val="24"/>
        </w:rPr>
        <w:t>SDRs do not necessarily</w:t>
      </w:r>
      <w:r w:rsidR="00432010">
        <w:rPr>
          <w:rFonts w:ascii="Times New Roman" w:hAnsi="Times New Roman"/>
          <w:color w:val="000000"/>
          <w:szCs w:val="24"/>
        </w:rPr>
        <w:t xml:space="preserve"> ha</w:t>
      </w:r>
      <w:r w:rsidR="00976AFC">
        <w:rPr>
          <w:rFonts w:ascii="Times New Roman" w:hAnsi="Times New Roman"/>
          <w:color w:val="000000"/>
          <w:szCs w:val="24"/>
        </w:rPr>
        <w:t>ve a relationship with the non-reporting counterpart</w:t>
      </w:r>
      <w:r w:rsidR="003F48DC">
        <w:rPr>
          <w:rFonts w:ascii="Times New Roman" w:hAnsi="Times New Roman"/>
          <w:color w:val="000000"/>
          <w:szCs w:val="24"/>
        </w:rPr>
        <w:t>ies</w:t>
      </w:r>
      <w:r w:rsidR="00432010">
        <w:rPr>
          <w:rFonts w:ascii="Times New Roman" w:hAnsi="Times New Roman"/>
          <w:color w:val="000000"/>
          <w:szCs w:val="24"/>
        </w:rPr>
        <w:t>, nor can an SDR compel a non-reporting counterparty to establish a relationship</w:t>
      </w:r>
      <w:r w:rsidR="003F48DC">
        <w:rPr>
          <w:rFonts w:ascii="Times New Roman" w:hAnsi="Times New Roman"/>
          <w:color w:val="000000"/>
          <w:szCs w:val="24"/>
        </w:rPr>
        <w:t xml:space="preserve">.  To the extent that the SDRs do not have a relationship with the non-reporting counterparties, it is not possible for the SDRs to satisfy the obligation to confirm accuracy with the non-reporting counterparties under </w:t>
      </w:r>
      <w:r w:rsidR="002F2BE4">
        <w:rPr>
          <w:rFonts w:ascii="Times New Roman" w:hAnsi="Times New Roman"/>
          <w:color w:val="000000"/>
          <w:szCs w:val="24"/>
        </w:rPr>
        <w:t>the current reporting rules.  As such, the Commission should relieve SDRs of the obligations contained in CFTC Regulation § 49.11(b), since these obligations are untenable</w:t>
      </w:r>
    </w:p>
    <w:p w14:paraId="575AA36B" w14:textId="77777777" w:rsidR="00971E8C" w:rsidRDefault="00971E8C" w:rsidP="00687856">
      <w:pPr>
        <w:autoSpaceDE w:val="0"/>
        <w:autoSpaceDN w:val="0"/>
        <w:adjustRightInd w:val="0"/>
        <w:rPr>
          <w:rFonts w:ascii="Times New Roman" w:hAnsi="Times New Roman"/>
          <w:color w:val="000000"/>
          <w:szCs w:val="24"/>
        </w:rPr>
      </w:pPr>
    </w:p>
    <w:p w14:paraId="4B3C2CD1" w14:textId="4CA7CF59" w:rsidR="00941D00" w:rsidRDefault="008F596F" w:rsidP="00687856">
      <w:pPr>
        <w:autoSpaceDE w:val="0"/>
        <w:autoSpaceDN w:val="0"/>
        <w:adjustRightInd w:val="0"/>
        <w:rPr>
          <w:rFonts w:ascii="Times New Roman" w:hAnsi="Times New Roman"/>
          <w:color w:val="000000"/>
          <w:szCs w:val="24"/>
        </w:rPr>
      </w:pPr>
      <w:r>
        <w:rPr>
          <w:rFonts w:ascii="Times New Roman" w:hAnsi="Times New Roman"/>
          <w:color w:val="000000"/>
          <w:szCs w:val="24"/>
        </w:rPr>
        <w:t xml:space="preserve">CME and ICE recommend </w:t>
      </w:r>
      <w:r w:rsidR="002A719D">
        <w:rPr>
          <w:rFonts w:ascii="Times New Roman" w:hAnsi="Times New Roman"/>
          <w:color w:val="000000"/>
          <w:szCs w:val="24"/>
        </w:rPr>
        <w:t>the</w:t>
      </w:r>
      <w:r w:rsidR="00971E8C" w:rsidRPr="00443976">
        <w:rPr>
          <w:rFonts w:ascii="Times New Roman" w:hAnsi="Times New Roman"/>
          <w:color w:val="000000"/>
          <w:szCs w:val="24"/>
        </w:rPr>
        <w:t xml:space="preserve"> Commission</w:t>
      </w:r>
      <w:r w:rsidR="008D4FDB">
        <w:rPr>
          <w:rFonts w:ascii="Times New Roman" w:hAnsi="Times New Roman"/>
          <w:color w:val="000000"/>
          <w:szCs w:val="24"/>
        </w:rPr>
        <w:t xml:space="preserve"> </w:t>
      </w:r>
      <w:r w:rsidR="00971E8C" w:rsidRPr="00443976">
        <w:rPr>
          <w:rFonts w:ascii="Times New Roman" w:hAnsi="Times New Roman"/>
          <w:color w:val="000000"/>
          <w:szCs w:val="24"/>
        </w:rPr>
        <w:t xml:space="preserve">clearly define </w:t>
      </w:r>
      <w:r w:rsidR="00F33396">
        <w:rPr>
          <w:rFonts w:ascii="Times New Roman" w:hAnsi="Times New Roman"/>
          <w:color w:val="000000"/>
          <w:szCs w:val="24"/>
        </w:rPr>
        <w:t xml:space="preserve">the </w:t>
      </w:r>
      <w:r w:rsidR="008D4FDB">
        <w:rPr>
          <w:rFonts w:ascii="Times New Roman" w:hAnsi="Times New Roman"/>
          <w:color w:val="000000"/>
          <w:szCs w:val="24"/>
        </w:rPr>
        <w:t xml:space="preserve">obligations </w:t>
      </w:r>
      <w:r w:rsidR="00971E8C" w:rsidRPr="00443976">
        <w:rPr>
          <w:rFonts w:ascii="Times New Roman" w:hAnsi="Times New Roman"/>
          <w:color w:val="000000"/>
          <w:szCs w:val="24"/>
        </w:rPr>
        <w:t xml:space="preserve">counterparties </w:t>
      </w:r>
      <w:r w:rsidR="008D4FDB">
        <w:rPr>
          <w:rFonts w:ascii="Times New Roman" w:hAnsi="Times New Roman"/>
          <w:color w:val="000000"/>
          <w:szCs w:val="24"/>
        </w:rPr>
        <w:t>and/</w:t>
      </w:r>
      <w:r w:rsidR="00971E8C" w:rsidRPr="00443976">
        <w:rPr>
          <w:rFonts w:ascii="Times New Roman" w:hAnsi="Times New Roman"/>
          <w:color w:val="000000"/>
          <w:szCs w:val="24"/>
        </w:rPr>
        <w:t xml:space="preserve">or participants </w:t>
      </w:r>
      <w:r w:rsidR="008D4FDB">
        <w:rPr>
          <w:rFonts w:ascii="Times New Roman" w:hAnsi="Times New Roman"/>
          <w:color w:val="000000"/>
          <w:szCs w:val="24"/>
        </w:rPr>
        <w:t>have</w:t>
      </w:r>
      <w:r w:rsidR="00B019E5">
        <w:rPr>
          <w:rFonts w:ascii="Times New Roman" w:hAnsi="Times New Roman"/>
          <w:color w:val="000000"/>
          <w:szCs w:val="24"/>
        </w:rPr>
        <w:t xml:space="preserve"> for confirming accuracy and completeness</w:t>
      </w:r>
      <w:r w:rsidR="008D4FDB">
        <w:rPr>
          <w:rFonts w:ascii="Times New Roman" w:hAnsi="Times New Roman"/>
          <w:color w:val="000000"/>
          <w:szCs w:val="24"/>
        </w:rPr>
        <w:t xml:space="preserve"> </w:t>
      </w:r>
      <w:r w:rsidR="00971E8C" w:rsidRPr="00443976">
        <w:rPr>
          <w:rFonts w:ascii="Times New Roman" w:hAnsi="Times New Roman"/>
          <w:color w:val="000000"/>
          <w:szCs w:val="24"/>
        </w:rPr>
        <w:t>and in what time frame.</w:t>
      </w:r>
      <w:r w:rsidR="00791A8D" w:rsidRPr="00443976">
        <w:rPr>
          <w:rFonts w:ascii="Times New Roman" w:hAnsi="Times New Roman"/>
          <w:color w:val="000000"/>
          <w:szCs w:val="24"/>
        </w:rPr>
        <w:t xml:space="preserve"> </w:t>
      </w:r>
      <w:r w:rsidR="007631F5">
        <w:rPr>
          <w:rFonts w:ascii="Times New Roman" w:hAnsi="Times New Roman"/>
          <w:color w:val="000000"/>
          <w:szCs w:val="24"/>
        </w:rPr>
        <w:t>As stated above, the only persons who can accurately and completely confirm the trade data, are the parties to the trade. The SDR should have no responsibility to reach out to the non-reporting party</w:t>
      </w:r>
      <w:r w:rsidR="002F2BE4">
        <w:rPr>
          <w:rStyle w:val="FootnoteReference"/>
          <w:rFonts w:ascii="Times New Roman" w:hAnsi="Times New Roman"/>
          <w:color w:val="000000"/>
          <w:szCs w:val="24"/>
        </w:rPr>
        <w:footnoteReference w:id="6"/>
      </w:r>
      <w:r w:rsidR="007631F5">
        <w:rPr>
          <w:rFonts w:ascii="Times New Roman" w:hAnsi="Times New Roman"/>
          <w:color w:val="000000"/>
          <w:szCs w:val="24"/>
        </w:rPr>
        <w:t xml:space="preserve">. </w:t>
      </w:r>
      <w:r w:rsidR="002F2BE4">
        <w:rPr>
          <w:rFonts w:ascii="Times New Roman" w:hAnsi="Times New Roman"/>
          <w:color w:val="000000"/>
          <w:szCs w:val="24"/>
        </w:rPr>
        <w:t xml:space="preserve"> </w:t>
      </w:r>
      <w:r w:rsidR="007631F5">
        <w:rPr>
          <w:rFonts w:ascii="Times New Roman" w:hAnsi="Times New Roman"/>
          <w:color w:val="000000"/>
          <w:szCs w:val="24"/>
        </w:rPr>
        <w:t>In addition, t</w:t>
      </w:r>
      <w:r w:rsidR="00DF5754" w:rsidRPr="00443976">
        <w:rPr>
          <w:rFonts w:ascii="Times New Roman" w:hAnsi="Times New Roman"/>
          <w:color w:val="000000"/>
          <w:szCs w:val="24"/>
        </w:rPr>
        <w:t>o the degree that non-reporting counterparties are given obligations under the rule, they</w:t>
      </w:r>
      <w:r w:rsidR="007631F5">
        <w:rPr>
          <w:rFonts w:ascii="Times New Roman" w:hAnsi="Times New Roman"/>
          <w:color w:val="000000"/>
          <w:szCs w:val="24"/>
        </w:rPr>
        <w:t xml:space="preserve"> should </w:t>
      </w:r>
      <w:r w:rsidR="00DF5754" w:rsidRPr="00443976">
        <w:rPr>
          <w:rFonts w:ascii="Times New Roman" w:hAnsi="Times New Roman"/>
          <w:color w:val="000000"/>
          <w:szCs w:val="24"/>
        </w:rPr>
        <w:t xml:space="preserve">be required to on-board with each SDR. </w:t>
      </w:r>
      <w:r w:rsidR="00392DCD">
        <w:rPr>
          <w:rFonts w:ascii="Times New Roman" w:hAnsi="Times New Roman"/>
          <w:color w:val="000000"/>
          <w:szCs w:val="24"/>
        </w:rPr>
        <w:t xml:space="preserve"> </w:t>
      </w:r>
      <w:r w:rsidR="007631F5">
        <w:rPr>
          <w:rFonts w:ascii="Times New Roman" w:hAnsi="Times New Roman"/>
          <w:color w:val="000000"/>
          <w:szCs w:val="24"/>
        </w:rPr>
        <w:t>Furthermore, with respect to the correction of data, t</w:t>
      </w:r>
      <w:r w:rsidR="00DF5754" w:rsidRPr="00443976">
        <w:rPr>
          <w:rFonts w:ascii="Times New Roman" w:hAnsi="Times New Roman"/>
          <w:color w:val="000000"/>
          <w:szCs w:val="24"/>
        </w:rPr>
        <w:t xml:space="preserve">he SDRs </w:t>
      </w:r>
      <w:r w:rsidR="00392DCD">
        <w:rPr>
          <w:rFonts w:ascii="Times New Roman" w:hAnsi="Times New Roman"/>
          <w:color w:val="000000"/>
          <w:szCs w:val="24"/>
        </w:rPr>
        <w:t xml:space="preserve">believe </w:t>
      </w:r>
      <w:r w:rsidR="003556B2">
        <w:rPr>
          <w:rFonts w:ascii="Times New Roman" w:hAnsi="Times New Roman"/>
          <w:color w:val="000000"/>
          <w:szCs w:val="24"/>
        </w:rPr>
        <w:t>that amendment</w:t>
      </w:r>
      <w:r w:rsidR="007631F5">
        <w:rPr>
          <w:rFonts w:ascii="Times New Roman" w:hAnsi="Times New Roman"/>
          <w:color w:val="000000"/>
          <w:szCs w:val="24"/>
        </w:rPr>
        <w:t>s</w:t>
      </w:r>
      <w:r w:rsidR="003556B2">
        <w:rPr>
          <w:rFonts w:ascii="Times New Roman" w:hAnsi="Times New Roman"/>
          <w:color w:val="000000"/>
          <w:szCs w:val="24"/>
        </w:rPr>
        <w:t xml:space="preserve"> to a previously submitted swap </w:t>
      </w:r>
      <w:r w:rsidR="00F33396">
        <w:rPr>
          <w:rFonts w:ascii="Times New Roman" w:hAnsi="Times New Roman"/>
          <w:color w:val="000000"/>
          <w:szCs w:val="24"/>
        </w:rPr>
        <w:t xml:space="preserve">should </w:t>
      </w:r>
      <w:r w:rsidR="003556B2">
        <w:rPr>
          <w:rFonts w:ascii="Times New Roman" w:hAnsi="Times New Roman"/>
          <w:color w:val="000000"/>
          <w:szCs w:val="24"/>
        </w:rPr>
        <w:t>be provided by the reporting counterparty or its delegate</w:t>
      </w:r>
      <w:r w:rsidR="00E523FE">
        <w:rPr>
          <w:rFonts w:ascii="Times New Roman" w:hAnsi="Times New Roman"/>
          <w:color w:val="000000"/>
          <w:szCs w:val="24"/>
        </w:rPr>
        <w:t>,</w:t>
      </w:r>
      <w:r w:rsidR="00F33396">
        <w:rPr>
          <w:rFonts w:ascii="Times New Roman" w:hAnsi="Times New Roman"/>
          <w:color w:val="000000"/>
          <w:szCs w:val="24"/>
        </w:rPr>
        <w:t xml:space="preserve"> exclusively</w:t>
      </w:r>
      <w:r w:rsidR="003556B2">
        <w:rPr>
          <w:rFonts w:ascii="Times New Roman" w:hAnsi="Times New Roman"/>
          <w:color w:val="000000"/>
          <w:szCs w:val="24"/>
        </w:rPr>
        <w:t xml:space="preserve">.  The SDRs should not </w:t>
      </w:r>
      <w:r w:rsidR="00E523FE">
        <w:rPr>
          <w:rFonts w:ascii="Times New Roman" w:hAnsi="Times New Roman"/>
          <w:color w:val="000000"/>
          <w:szCs w:val="24"/>
        </w:rPr>
        <w:t xml:space="preserve">be required </w:t>
      </w:r>
      <w:r w:rsidR="003556B2">
        <w:rPr>
          <w:rFonts w:ascii="Times New Roman" w:hAnsi="Times New Roman"/>
          <w:color w:val="000000"/>
          <w:szCs w:val="24"/>
        </w:rPr>
        <w:t>to develop a means for the non-reporting counterparty to identify</w:t>
      </w:r>
      <w:r w:rsidR="009A4F76">
        <w:rPr>
          <w:rFonts w:ascii="Times New Roman" w:hAnsi="Times New Roman"/>
          <w:color w:val="000000"/>
          <w:szCs w:val="24"/>
        </w:rPr>
        <w:t xml:space="preserve"> data inaccuracies</w:t>
      </w:r>
      <w:r w:rsidR="003556B2">
        <w:rPr>
          <w:rFonts w:ascii="Times New Roman" w:hAnsi="Times New Roman"/>
          <w:color w:val="000000"/>
          <w:szCs w:val="24"/>
        </w:rPr>
        <w:t>, to the SDR directly</w:t>
      </w:r>
      <w:r w:rsidR="009A4F76">
        <w:rPr>
          <w:rFonts w:ascii="Times New Roman" w:hAnsi="Times New Roman"/>
          <w:color w:val="000000"/>
          <w:szCs w:val="24"/>
        </w:rPr>
        <w:t xml:space="preserve"> – this is particularly inefficient and creates more room for error</w:t>
      </w:r>
      <w:r w:rsidR="003556B2">
        <w:rPr>
          <w:rFonts w:ascii="Times New Roman" w:hAnsi="Times New Roman"/>
          <w:color w:val="000000"/>
          <w:szCs w:val="24"/>
        </w:rPr>
        <w:t xml:space="preserve">.  Any inaccuracy identified by the non-reporting counterparty should be raised with the reporting counterparty for </w:t>
      </w:r>
      <w:r w:rsidR="003556B2">
        <w:rPr>
          <w:rFonts w:ascii="Times New Roman" w:hAnsi="Times New Roman"/>
          <w:color w:val="000000"/>
          <w:szCs w:val="24"/>
        </w:rPr>
        <w:lastRenderedPageBreak/>
        <w:t xml:space="preserve">resolution.  </w:t>
      </w:r>
      <w:r w:rsidR="00DF5754" w:rsidRPr="00443976">
        <w:rPr>
          <w:rFonts w:ascii="Times New Roman" w:hAnsi="Times New Roman"/>
          <w:color w:val="000000"/>
          <w:szCs w:val="24"/>
        </w:rPr>
        <w:t>Finally</w:t>
      </w:r>
      <w:r w:rsidR="00971E8C">
        <w:rPr>
          <w:rFonts w:ascii="Times New Roman" w:hAnsi="Times New Roman"/>
          <w:color w:val="000000"/>
          <w:szCs w:val="24"/>
        </w:rPr>
        <w:t xml:space="preserve">, </w:t>
      </w:r>
      <w:r w:rsidR="00B024B0">
        <w:rPr>
          <w:rFonts w:ascii="Times New Roman" w:hAnsi="Times New Roman"/>
          <w:color w:val="000000"/>
          <w:szCs w:val="24"/>
        </w:rPr>
        <w:t xml:space="preserve">the SDRs </w:t>
      </w:r>
      <w:r w:rsidR="00C45334">
        <w:rPr>
          <w:rFonts w:ascii="Times New Roman" w:hAnsi="Times New Roman"/>
          <w:color w:val="000000"/>
          <w:szCs w:val="24"/>
        </w:rPr>
        <w:t xml:space="preserve">encourage </w:t>
      </w:r>
      <w:r w:rsidR="00B024B0">
        <w:rPr>
          <w:rFonts w:ascii="Times New Roman" w:hAnsi="Times New Roman"/>
          <w:color w:val="000000"/>
          <w:szCs w:val="24"/>
        </w:rPr>
        <w:t>the Commission</w:t>
      </w:r>
      <w:r w:rsidR="00C45334">
        <w:rPr>
          <w:rFonts w:ascii="Times New Roman" w:hAnsi="Times New Roman"/>
          <w:color w:val="000000"/>
          <w:szCs w:val="24"/>
        </w:rPr>
        <w:t xml:space="preserve"> to, where possible, </w:t>
      </w:r>
      <w:r w:rsidR="00791A8D">
        <w:rPr>
          <w:rFonts w:ascii="Times New Roman" w:hAnsi="Times New Roman"/>
          <w:color w:val="000000"/>
          <w:szCs w:val="24"/>
        </w:rPr>
        <w:t>levera</w:t>
      </w:r>
      <w:r w:rsidR="00C45334">
        <w:rPr>
          <w:rFonts w:ascii="Times New Roman" w:hAnsi="Times New Roman"/>
          <w:color w:val="000000"/>
          <w:szCs w:val="24"/>
        </w:rPr>
        <w:t>ge</w:t>
      </w:r>
      <w:r w:rsidR="00B024B0">
        <w:rPr>
          <w:rFonts w:ascii="Times New Roman" w:hAnsi="Times New Roman"/>
          <w:color w:val="000000"/>
          <w:szCs w:val="24"/>
        </w:rPr>
        <w:t xml:space="preserve"> existing processes (i.e. reconciliation</w:t>
      </w:r>
      <w:r w:rsidR="00791A8D">
        <w:rPr>
          <w:rFonts w:ascii="Times New Roman" w:hAnsi="Times New Roman"/>
          <w:color w:val="000000"/>
          <w:szCs w:val="24"/>
        </w:rPr>
        <w:t xml:space="preserve"> processes set forth in </w:t>
      </w:r>
      <w:r w:rsidR="00791A8D" w:rsidRPr="00976AFC">
        <w:rPr>
          <w:rFonts w:ascii="Times New Roman" w:hAnsi="Times New Roman"/>
          <w:color w:val="000000"/>
          <w:szCs w:val="24"/>
        </w:rPr>
        <w:t xml:space="preserve">§ </w:t>
      </w:r>
      <w:r w:rsidR="00791A8D">
        <w:rPr>
          <w:rFonts w:ascii="Times New Roman" w:hAnsi="Times New Roman"/>
          <w:color w:val="000000"/>
          <w:szCs w:val="24"/>
        </w:rPr>
        <w:t>23</w:t>
      </w:r>
      <w:r w:rsidR="00791A8D" w:rsidRPr="00976AFC">
        <w:rPr>
          <w:rFonts w:ascii="Times New Roman" w:hAnsi="Times New Roman"/>
          <w:color w:val="000000"/>
          <w:szCs w:val="24"/>
        </w:rPr>
        <w:t>.</w:t>
      </w:r>
      <w:r w:rsidR="00791A8D">
        <w:rPr>
          <w:rFonts w:ascii="Times New Roman" w:hAnsi="Times New Roman"/>
          <w:color w:val="000000"/>
          <w:szCs w:val="24"/>
        </w:rPr>
        <w:t>502)</w:t>
      </w:r>
      <w:r w:rsidR="00B024B0">
        <w:rPr>
          <w:rFonts w:ascii="Times New Roman" w:hAnsi="Times New Roman"/>
          <w:color w:val="000000"/>
          <w:szCs w:val="24"/>
        </w:rPr>
        <w:t xml:space="preserve"> to reduce redundancy and the burden on </w:t>
      </w:r>
      <w:r w:rsidR="00791A8D">
        <w:rPr>
          <w:rFonts w:ascii="Times New Roman" w:hAnsi="Times New Roman"/>
          <w:color w:val="000000"/>
          <w:szCs w:val="24"/>
        </w:rPr>
        <w:t>impacted market participants.</w:t>
      </w:r>
    </w:p>
    <w:p w14:paraId="5E902BCF" w14:textId="77777777" w:rsidR="00791A8D" w:rsidRDefault="00791A8D" w:rsidP="00687856">
      <w:pPr>
        <w:autoSpaceDE w:val="0"/>
        <w:autoSpaceDN w:val="0"/>
        <w:adjustRightInd w:val="0"/>
        <w:rPr>
          <w:rFonts w:ascii="Times New Roman" w:hAnsi="Times New Roman"/>
          <w:color w:val="000000"/>
          <w:szCs w:val="24"/>
        </w:rPr>
      </w:pPr>
    </w:p>
    <w:p w14:paraId="5BED94E4" w14:textId="77777777" w:rsidR="00834739" w:rsidRPr="007C0EAC" w:rsidRDefault="00834739" w:rsidP="007C0EAC">
      <w:pPr>
        <w:pStyle w:val="ListParagraph"/>
        <w:numPr>
          <w:ilvl w:val="0"/>
          <w:numId w:val="6"/>
        </w:numPr>
        <w:autoSpaceDE w:val="0"/>
        <w:autoSpaceDN w:val="0"/>
        <w:adjustRightInd w:val="0"/>
        <w:rPr>
          <w:rFonts w:ascii="Times New Roman" w:hAnsi="Times New Roman"/>
          <w:b/>
          <w:color w:val="000000"/>
          <w:szCs w:val="24"/>
        </w:rPr>
      </w:pPr>
      <w:r w:rsidRPr="007C0EAC">
        <w:rPr>
          <w:rFonts w:ascii="Times New Roman" w:hAnsi="Times New Roman"/>
          <w:b/>
          <w:color w:val="000000"/>
          <w:szCs w:val="24"/>
        </w:rPr>
        <w:t>Tranche II: Reporting Workflows</w:t>
      </w:r>
    </w:p>
    <w:p w14:paraId="4475CFDC" w14:textId="77777777" w:rsidR="00B65497" w:rsidRPr="00583E2D" w:rsidRDefault="00B65497" w:rsidP="007C0EAC">
      <w:pPr>
        <w:pStyle w:val="ListParagraph"/>
        <w:numPr>
          <w:ilvl w:val="1"/>
          <w:numId w:val="6"/>
        </w:numPr>
        <w:autoSpaceDE w:val="0"/>
        <w:autoSpaceDN w:val="0"/>
        <w:adjustRightInd w:val="0"/>
        <w:rPr>
          <w:rFonts w:ascii="Times New Roman" w:hAnsi="Times New Roman"/>
          <w:b/>
          <w:color w:val="000000"/>
          <w:szCs w:val="24"/>
        </w:rPr>
      </w:pPr>
      <w:r w:rsidRPr="00583E2D">
        <w:rPr>
          <w:rFonts w:ascii="Times New Roman" w:hAnsi="Times New Roman"/>
          <w:b/>
          <w:color w:val="000000"/>
          <w:szCs w:val="24"/>
        </w:rPr>
        <w:t>Streamline Workflows</w:t>
      </w:r>
    </w:p>
    <w:p w14:paraId="76B40D60" w14:textId="77777777" w:rsidR="00DF5754" w:rsidRDefault="00DF5754" w:rsidP="00DF5754">
      <w:pPr>
        <w:autoSpaceDE w:val="0"/>
        <w:autoSpaceDN w:val="0"/>
        <w:adjustRightInd w:val="0"/>
        <w:rPr>
          <w:rFonts w:ascii="Times New Roman" w:hAnsi="Times New Roman"/>
          <w:color w:val="000000"/>
          <w:szCs w:val="24"/>
        </w:rPr>
      </w:pPr>
    </w:p>
    <w:p w14:paraId="74720FA3" w14:textId="77777777" w:rsidR="00DF5754" w:rsidRPr="00525A0A" w:rsidRDefault="00B65497" w:rsidP="00DF5754">
      <w:pPr>
        <w:autoSpaceDE w:val="0"/>
        <w:autoSpaceDN w:val="0"/>
        <w:adjustRightInd w:val="0"/>
        <w:rPr>
          <w:rFonts w:ascii="Times New Roman" w:hAnsi="Times New Roman"/>
          <w:b/>
          <w:i/>
          <w:color w:val="000000"/>
          <w:szCs w:val="24"/>
        </w:rPr>
      </w:pPr>
      <w:r w:rsidRPr="00525A0A">
        <w:rPr>
          <w:rFonts w:ascii="Times New Roman" w:hAnsi="Times New Roman"/>
          <w:b/>
          <w:i/>
          <w:color w:val="000000"/>
          <w:szCs w:val="24"/>
        </w:rPr>
        <w:t>Explore whether to combine PET and Confirmation data into a single, clearly defined and electronically reportable set of data elements</w:t>
      </w:r>
    </w:p>
    <w:p w14:paraId="56CED27B" w14:textId="77777777" w:rsidR="004111AC" w:rsidRDefault="004111AC" w:rsidP="00DF5754">
      <w:pPr>
        <w:autoSpaceDE w:val="0"/>
        <w:autoSpaceDN w:val="0"/>
        <w:adjustRightInd w:val="0"/>
        <w:rPr>
          <w:rFonts w:ascii="Times New Roman" w:hAnsi="Times New Roman"/>
          <w:color w:val="000000"/>
          <w:szCs w:val="24"/>
        </w:rPr>
      </w:pPr>
    </w:p>
    <w:p w14:paraId="576D92AC" w14:textId="76CB67E8" w:rsidR="00297F08" w:rsidRDefault="00F43ADB" w:rsidP="00DF5754">
      <w:pPr>
        <w:autoSpaceDE w:val="0"/>
        <w:autoSpaceDN w:val="0"/>
        <w:adjustRightInd w:val="0"/>
        <w:rPr>
          <w:rFonts w:ascii="Times New Roman" w:hAnsi="Times New Roman"/>
          <w:color w:val="000000"/>
          <w:szCs w:val="24"/>
        </w:rPr>
      </w:pPr>
      <w:r w:rsidRPr="00F43ADB">
        <w:rPr>
          <w:rFonts w:ascii="Times New Roman" w:hAnsi="Times New Roman"/>
          <w:color w:val="000000"/>
          <w:szCs w:val="24"/>
        </w:rPr>
        <w:t>BSDR and CME</w:t>
      </w:r>
      <w:r w:rsidR="00EF52F4" w:rsidRPr="00F43ADB">
        <w:rPr>
          <w:rFonts w:ascii="Times New Roman" w:hAnsi="Times New Roman"/>
          <w:color w:val="000000"/>
          <w:szCs w:val="24"/>
        </w:rPr>
        <w:t xml:space="preserve"> do not believe that the Commission should dictate in the regulation the messages that reporting counterparties </w:t>
      </w:r>
      <w:r w:rsidR="001770C5" w:rsidRPr="00F43ADB">
        <w:rPr>
          <w:rFonts w:ascii="Times New Roman" w:hAnsi="Times New Roman"/>
          <w:color w:val="000000"/>
          <w:szCs w:val="24"/>
        </w:rPr>
        <w:t xml:space="preserve">can </w:t>
      </w:r>
      <w:r w:rsidR="00EF52F4" w:rsidRPr="00F43ADB">
        <w:rPr>
          <w:rFonts w:ascii="Times New Roman" w:hAnsi="Times New Roman"/>
          <w:color w:val="000000"/>
          <w:szCs w:val="24"/>
        </w:rPr>
        <w:t xml:space="preserve">send to the </w:t>
      </w:r>
      <w:r w:rsidR="00912966" w:rsidRPr="00F43ADB">
        <w:rPr>
          <w:rFonts w:ascii="Times New Roman" w:hAnsi="Times New Roman"/>
          <w:color w:val="000000"/>
          <w:szCs w:val="24"/>
        </w:rPr>
        <w:t>SDRs</w:t>
      </w:r>
      <w:r w:rsidR="00EF52F4" w:rsidRPr="00F43ADB">
        <w:rPr>
          <w:rFonts w:ascii="Times New Roman" w:hAnsi="Times New Roman"/>
          <w:color w:val="000000"/>
          <w:szCs w:val="24"/>
        </w:rPr>
        <w:t xml:space="preserve">.  As discussed in more detail below, the </w:t>
      </w:r>
      <w:r w:rsidRPr="00F43ADB">
        <w:rPr>
          <w:rFonts w:ascii="Times New Roman" w:hAnsi="Times New Roman"/>
          <w:color w:val="000000"/>
          <w:szCs w:val="24"/>
        </w:rPr>
        <w:t xml:space="preserve">BSDR and CME </w:t>
      </w:r>
      <w:r w:rsidR="00EF52F4" w:rsidRPr="00F43ADB">
        <w:rPr>
          <w:rFonts w:ascii="Times New Roman" w:hAnsi="Times New Roman"/>
          <w:color w:val="000000"/>
          <w:szCs w:val="24"/>
        </w:rPr>
        <w:t>wish to retain the flexibility to accept a single message or multiple messages.</w:t>
      </w:r>
      <w:r w:rsidR="00E6253D" w:rsidRPr="00F43ADB">
        <w:rPr>
          <w:rStyle w:val="FootnoteReference"/>
          <w:rFonts w:ascii="Times New Roman" w:hAnsi="Times New Roman"/>
          <w:color w:val="000000"/>
          <w:szCs w:val="24"/>
        </w:rPr>
        <w:footnoteReference w:id="7"/>
      </w:r>
      <w:r w:rsidR="00EF52F4">
        <w:rPr>
          <w:rFonts w:ascii="Times New Roman" w:hAnsi="Times New Roman"/>
          <w:color w:val="000000"/>
          <w:szCs w:val="24"/>
        </w:rPr>
        <w:t xml:space="preserve">  </w:t>
      </w:r>
    </w:p>
    <w:p w14:paraId="38D468A0" w14:textId="77777777" w:rsidR="00A5189D" w:rsidRDefault="00A5189D" w:rsidP="00DF5754">
      <w:pPr>
        <w:autoSpaceDE w:val="0"/>
        <w:autoSpaceDN w:val="0"/>
        <w:adjustRightInd w:val="0"/>
        <w:rPr>
          <w:rFonts w:ascii="Times New Roman" w:hAnsi="Times New Roman"/>
          <w:color w:val="000000"/>
          <w:szCs w:val="24"/>
        </w:rPr>
      </w:pPr>
    </w:p>
    <w:p w14:paraId="47BE86D6" w14:textId="09DB5C6E" w:rsidR="00DF5754" w:rsidRPr="00DF5754" w:rsidRDefault="000D4F73" w:rsidP="00DF5754">
      <w:pPr>
        <w:autoSpaceDE w:val="0"/>
        <w:autoSpaceDN w:val="0"/>
        <w:adjustRightInd w:val="0"/>
        <w:rPr>
          <w:rFonts w:ascii="Times New Roman" w:hAnsi="Times New Roman"/>
          <w:color w:val="000000"/>
          <w:szCs w:val="24"/>
        </w:rPr>
      </w:pPr>
      <w:r>
        <w:rPr>
          <w:rFonts w:ascii="Times New Roman" w:hAnsi="Times New Roman"/>
          <w:color w:val="000000"/>
          <w:szCs w:val="24"/>
        </w:rPr>
        <w:t>Should</w:t>
      </w:r>
      <w:r w:rsidR="00A5189D">
        <w:rPr>
          <w:rFonts w:ascii="Times New Roman" w:hAnsi="Times New Roman"/>
          <w:color w:val="000000"/>
          <w:szCs w:val="24"/>
        </w:rPr>
        <w:t xml:space="preserve"> the Commission continue to </w:t>
      </w:r>
      <w:r>
        <w:rPr>
          <w:rFonts w:ascii="Times New Roman" w:hAnsi="Times New Roman"/>
          <w:color w:val="000000"/>
          <w:szCs w:val="24"/>
        </w:rPr>
        <w:t>require that Confirmation Data be reported</w:t>
      </w:r>
      <w:r w:rsidR="00A5189D">
        <w:rPr>
          <w:rFonts w:ascii="Times New Roman" w:hAnsi="Times New Roman"/>
          <w:color w:val="000000"/>
          <w:szCs w:val="24"/>
        </w:rPr>
        <w:t xml:space="preserve">, </w:t>
      </w:r>
      <w:r w:rsidR="00440B29">
        <w:rPr>
          <w:rFonts w:ascii="Times New Roman" w:hAnsi="Times New Roman"/>
          <w:color w:val="000000"/>
          <w:szCs w:val="24"/>
        </w:rPr>
        <w:t xml:space="preserve">at a minimum, </w:t>
      </w:r>
      <w:r w:rsidR="00A5189D">
        <w:rPr>
          <w:rFonts w:ascii="Times New Roman" w:hAnsi="Times New Roman"/>
          <w:color w:val="000000"/>
          <w:szCs w:val="24"/>
        </w:rPr>
        <w:t xml:space="preserve">the Commission should clearly define which data elements constitute Confirmation Data.  Such data elements should not include identifiers, such as Clearing ID, as they are not part of the </w:t>
      </w:r>
      <w:r w:rsidR="001770C5">
        <w:rPr>
          <w:rFonts w:ascii="Times New Roman" w:hAnsi="Times New Roman"/>
          <w:color w:val="000000"/>
          <w:szCs w:val="24"/>
        </w:rPr>
        <w:t xml:space="preserve">typical </w:t>
      </w:r>
      <w:r w:rsidR="00A5189D">
        <w:rPr>
          <w:rFonts w:ascii="Times New Roman" w:hAnsi="Times New Roman"/>
          <w:color w:val="000000"/>
          <w:szCs w:val="24"/>
        </w:rPr>
        <w:t xml:space="preserve">confirmation process.  Additionally, the Commission should extend the timeframe to report required Confirmation Data to align with the swap confirmation requirements set forth in </w:t>
      </w:r>
      <w:r w:rsidR="00A5189D" w:rsidRPr="002B6C66">
        <w:rPr>
          <w:rFonts w:ascii="Times New Roman" w:hAnsi="Times New Roman"/>
          <w:color w:val="000000"/>
          <w:szCs w:val="24"/>
        </w:rPr>
        <w:t>§</w:t>
      </w:r>
      <w:r w:rsidR="00A5189D">
        <w:rPr>
          <w:rFonts w:ascii="Times New Roman" w:hAnsi="Times New Roman"/>
          <w:color w:val="000000"/>
          <w:szCs w:val="24"/>
        </w:rPr>
        <w:t xml:space="preserve"> 23.501</w:t>
      </w:r>
      <w:r w:rsidR="0054532F">
        <w:rPr>
          <w:rStyle w:val="FootnoteReference"/>
          <w:rFonts w:ascii="Times New Roman" w:hAnsi="Times New Roman"/>
          <w:color w:val="000000"/>
          <w:szCs w:val="24"/>
        </w:rPr>
        <w:footnoteReference w:id="8"/>
      </w:r>
      <w:r w:rsidR="00A5189D">
        <w:rPr>
          <w:rFonts w:ascii="Times New Roman" w:hAnsi="Times New Roman"/>
          <w:color w:val="000000"/>
          <w:szCs w:val="24"/>
        </w:rPr>
        <w:t xml:space="preserve">.  </w:t>
      </w:r>
    </w:p>
    <w:p w14:paraId="734788DF" w14:textId="77777777" w:rsidR="00DF5754" w:rsidRPr="00DF5754" w:rsidRDefault="00DF5754" w:rsidP="00DF5754">
      <w:pPr>
        <w:autoSpaceDE w:val="0"/>
        <w:autoSpaceDN w:val="0"/>
        <w:adjustRightInd w:val="0"/>
        <w:rPr>
          <w:rFonts w:ascii="Times New Roman" w:hAnsi="Times New Roman"/>
          <w:i/>
          <w:color w:val="000000"/>
          <w:szCs w:val="24"/>
        </w:rPr>
      </w:pPr>
    </w:p>
    <w:p w14:paraId="1A5AB7A5" w14:textId="77777777" w:rsidR="00B65497" w:rsidRPr="00525A0A" w:rsidRDefault="00B65497" w:rsidP="00DF5754">
      <w:pPr>
        <w:autoSpaceDE w:val="0"/>
        <w:autoSpaceDN w:val="0"/>
        <w:adjustRightInd w:val="0"/>
        <w:rPr>
          <w:rFonts w:ascii="Times New Roman" w:hAnsi="Times New Roman"/>
          <w:b/>
          <w:i/>
          <w:color w:val="000000"/>
          <w:szCs w:val="24"/>
        </w:rPr>
      </w:pPr>
      <w:r w:rsidRPr="00525A0A">
        <w:rPr>
          <w:rFonts w:ascii="Times New Roman" w:hAnsi="Times New Roman"/>
          <w:b/>
          <w:i/>
          <w:color w:val="000000"/>
          <w:szCs w:val="24"/>
        </w:rPr>
        <w:t>Work to remove uncertainty as to what must be reported and how</w:t>
      </w:r>
    </w:p>
    <w:p w14:paraId="2543E652" w14:textId="77777777" w:rsidR="002B6C66" w:rsidRDefault="002B6C66" w:rsidP="00DF5754">
      <w:pPr>
        <w:autoSpaceDE w:val="0"/>
        <w:autoSpaceDN w:val="0"/>
        <w:adjustRightInd w:val="0"/>
        <w:rPr>
          <w:rFonts w:ascii="Times New Roman" w:hAnsi="Times New Roman"/>
          <w:i/>
          <w:color w:val="000000"/>
          <w:szCs w:val="24"/>
        </w:rPr>
      </w:pPr>
    </w:p>
    <w:p w14:paraId="38E7A62A" w14:textId="22ED25F0" w:rsidR="002B6C66" w:rsidRDefault="002B6C66" w:rsidP="002B6C66">
      <w:pPr>
        <w:autoSpaceDE w:val="0"/>
        <w:autoSpaceDN w:val="0"/>
        <w:adjustRightInd w:val="0"/>
        <w:rPr>
          <w:rFonts w:ascii="Times New Roman" w:hAnsi="Times New Roman"/>
          <w:color w:val="000000"/>
          <w:szCs w:val="24"/>
        </w:rPr>
      </w:pPr>
      <w:r w:rsidRPr="002B6C66">
        <w:rPr>
          <w:rFonts w:ascii="Times New Roman" w:hAnsi="Times New Roman"/>
          <w:color w:val="000000"/>
          <w:szCs w:val="24"/>
        </w:rPr>
        <w:t xml:space="preserve">All fields that are required to be reported should be embedded in the appendices to parts 43 and 45, so there is a single place to look to identify </w:t>
      </w:r>
      <w:r w:rsidR="00D176BD">
        <w:rPr>
          <w:rFonts w:ascii="Times New Roman" w:hAnsi="Times New Roman"/>
          <w:color w:val="000000"/>
          <w:szCs w:val="24"/>
        </w:rPr>
        <w:t xml:space="preserve">field </w:t>
      </w:r>
      <w:r w:rsidRPr="002B6C66">
        <w:rPr>
          <w:rFonts w:ascii="Times New Roman" w:hAnsi="Times New Roman"/>
          <w:color w:val="000000"/>
          <w:szCs w:val="24"/>
        </w:rPr>
        <w:t>reporting requirements.</w:t>
      </w:r>
      <w:r w:rsidR="00D176BD">
        <w:rPr>
          <w:rFonts w:ascii="Times New Roman" w:hAnsi="Times New Roman"/>
          <w:color w:val="000000"/>
          <w:szCs w:val="24"/>
        </w:rPr>
        <w:t xml:space="preserve">  The appendices should include expected field names, valid values and other required validations.</w:t>
      </w:r>
      <w:r w:rsidRPr="002B6C66">
        <w:rPr>
          <w:rFonts w:ascii="Times New Roman" w:hAnsi="Times New Roman"/>
          <w:color w:val="000000"/>
          <w:szCs w:val="24"/>
        </w:rPr>
        <w:t xml:space="preserve">   </w:t>
      </w:r>
      <w:r w:rsidRPr="00F9518A">
        <w:rPr>
          <w:rFonts w:ascii="Times New Roman" w:hAnsi="Times New Roman"/>
          <w:color w:val="000000"/>
          <w:szCs w:val="24"/>
        </w:rPr>
        <w:t>For example, international swap is not required in the appendices to part 43 or 45</w:t>
      </w:r>
      <w:r w:rsidR="00AE0367" w:rsidRPr="00F9518A">
        <w:rPr>
          <w:rFonts w:ascii="Times New Roman" w:hAnsi="Times New Roman"/>
          <w:color w:val="000000"/>
          <w:szCs w:val="24"/>
        </w:rPr>
        <w:t>,</w:t>
      </w:r>
      <w:r w:rsidRPr="00F9518A">
        <w:rPr>
          <w:rFonts w:ascii="Times New Roman" w:hAnsi="Times New Roman"/>
          <w:color w:val="000000"/>
          <w:szCs w:val="24"/>
        </w:rPr>
        <w:t xml:space="preserve"> but is referred to in § 45.3(</w:t>
      </w:r>
      <w:proofErr w:type="spellStart"/>
      <w:r w:rsidRPr="00F9518A">
        <w:rPr>
          <w:rFonts w:ascii="Times New Roman" w:hAnsi="Times New Roman"/>
          <w:color w:val="000000"/>
          <w:szCs w:val="24"/>
        </w:rPr>
        <w:t>i</w:t>
      </w:r>
      <w:proofErr w:type="spellEnd"/>
      <w:r w:rsidRPr="00F9518A">
        <w:rPr>
          <w:rFonts w:ascii="Times New Roman" w:hAnsi="Times New Roman"/>
          <w:color w:val="000000"/>
          <w:szCs w:val="24"/>
        </w:rPr>
        <w:t>) and requires that certain data</w:t>
      </w:r>
      <w:r w:rsidR="00E6253D" w:rsidRPr="00F9518A">
        <w:rPr>
          <w:rFonts w:ascii="Times New Roman" w:hAnsi="Times New Roman"/>
          <w:color w:val="000000"/>
          <w:szCs w:val="24"/>
        </w:rPr>
        <w:t>.</w:t>
      </w:r>
    </w:p>
    <w:p w14:paraId="29DE72F3" w14:textId="77777777" w:rsidR="00297F08" w:rsidRDefault="00297F08" w:rsidP="002B6C66">
      <w:pPr>
        <w:autoSpaceDE w:val="0"/>
        <w:autoSpaceDN w:val="0"/>
        <w:adjustRightInd w:val="0"/>
        <w:rPr>
          <w:rFonts w:ascii="Times New Roman" w:hAnsi="Times New Roman"/>
          <w:color w:val="000000"/>
          <w:szCs w:val="24"/>
        </w:rPr>
      </w:pPr>
    </w:p>
    <w:p w14:paraId="55EC9803" w14:textId="77777777" w:rsidR="00297F08" w:rsidRPr="002B6C66" w:rsidRDefault="00297F08" w:rsidP="00297F08">
      <w:pPr>
        <w:autoSpaceDE w:val="0"/>
        <w:autoSpaceDN w:val="0"/>
        <w:adjustRightInd w:val="0"/>
        <w:rPr>
          <w:rFonts w:ascii="Times New Roman" w:hAnsi="Times New Roman"/>
          <w:color w:val="000000"/>
          <w:szCs w:val="24"/>
        </w:rPr>
      </w:pPr>
      <w:r>
        <w:rPr>
          <w:rFonts w:ascii="Times New Roman" w:hAnsi="Times New Roman"/>
          <w:color w:val="000000"/>
          <w:szCs w:val="24"/>
        </w:rPr>
        <w:t>It goes without saying, that all existing guidance, including no-action letters and frequently asked questions, should be addressed in the amended regulations so market participants have a clear picture of their regulatory obligations.</w:t>
      </w:r>
    </w:p>
    <w:p w14:paraId="70908CB8" w14:textId="77777777" w:rsidR="00DF5754" w:rsidRPr="00DF5754" w:rsidRDefault="00DF5754" w:rsidP="00DF5754">
      <w:pPr>
        <w:autoSpaceDE w:val="0"/>
        <w:autoSpaceDN w:val="0"/>
        <w:adjustRightInd w:val="0"/>
        <w:rPr>
          <w:rFonts w:ascii="Times New Roman" w:hAnsi="Times New Roman"/>
          <w:color w:val="000000"/>
          <w:szCs w:val="24"/>
        </w:rPr>
      </w:pPr>
    </w:p>
    <w:p w14:paraId="747362AE" w14:textId="77777777" w:rsidR="00B65497" w:rsidRDefault="00B65497" w:rsidP="00DF5754">
      <w:pPr>
        <w:autoSpaceDE w:val="0"/>
        <w:autoSpaceDN w:val="0"/>
        <w:adjustRightInd w:val="0"/>
        <w:rPr>
          <w:rFonts w:ascii="Times New Roman" w:hAnsi="Times New Roman"/>
          <w:b/>
          <w:i/>
          <w:color w:val="000000"/>
          <w:szCs w:val="24"/>
        </w:rPr>
      </w:pPr>
      <w:r w:rsidRPr="00525A0A">
        <w:rPr>
          <w:rFonts w:ascii="Times New Roman" w:hAnsi="Times New Roman"/>
          <w:b/>
          <w:i/>
          <w:color w:val="000000"/>
          <w:szCs w:val="24"/>
        </w:rPr>
        <w:t>Eliminate multiple reporting streams and unnecessary messages.</w:t>
      </w:r>
    </w:p>
    <w:p w14:paraId="1E73C908" w14:textId="77777777" w:rsidR="006225AE" w:rsidRDefault="006225AE" w:rsidP="00DF5754">
      <w:pPr>
        <w:autoSpaceDE w:val="0"/>
        <w:autoSpaceDN w:val="0"/>
        <w:adjustRightInd w:val="0"/>
        <w:rPr>
          <w:rFonts w:ascii="Times New Roman" w:hAnsi="Times New Roman"/>
          <w:color w:val="000000"/>
          <w:szCs w:val="24"/>
        </w:rPr>
      </w:pPr>
    </w:p>
    <w:p w14:paraId="5AF405E8" w14:textId="77777777" w:rsidR="006225AE" w:rsidRDefault="00290635" w:rsidP="00DF5754">
      <w:pPr>
        <w:autoSpaceDE w:val="0"/>
        <w:autoSpaceDN w:val="0"/>
        <w:adjustRightInd w:val="0"/>
        <w:rPr>
          <w:rFonts w:ascii="Times New Roman" w:hAnsi="Times New Roman"/>
          <w:color w:val="000000"/>
          <w:szCs w:val="24"/>
        </w:rPr>
      </w:pPr>
      <w:r>
        <w:rPr>
          <w:rFonts w:ascii="Times New Roman" w:hAnsi="Times New Roman"/>
          <w:color w:val="000000"/>
          <w:szCs w:val="24"/>
        </w:rPr>
        <w:t xml:space="preserve">Currently, the SDRs have architected their systems differently.  Certain SDRs accept only a single message for Part 43 and Part 45 data and certain SDRs accept both single and separate messages for Part 43 and Part 45 data.  </w:t>
      </w:r>
      <w:r w:rsidR="0054532F">
        <w:rPr>
          <w:rFonts w:ascii="Times New Roman" w:hAnsi="Times New Roman"/>
          <w:color w:val="000000"/>
          <w:szCs w:val="24"/>
        </w:rPr>
        <w:t xml:space="preserve">To </w:t>
      </w:r>
      <w:r w:rsidR="00A32A05">
        <w:rPr>
          <w:rFonts w:ascii="Times New Roman" w:hAnsi="Times New Roman"/>
          <w:color w:val="000000"/>
          <w:szCs w:val="24"/>
        </w:rPr>
        <w:t>avoid increasing</w:t>
      </w:r>
      <w:r w:rsidR="00F13D2B">
        <w:rPr>
          <w:rFonts w:ascii="Times New Roman" w:hAnsi="Times New Roman"/>
          <w:color w:val="000000"/>
          <w:szCs w:val="24"/>
        </w:rPr>
        <w:t xml:space="preserve"> costs unnecessarily</w:t>
      </w:r>
      <w:r w:rsidR="00A32A05">
        <w:rPr>
          <w:rFonts w:ascii="Times New Roman" w:hAnsi="Times New Roman"/>
          <w:color w:val="000000"/>
          <w:szCs w:val="24"/>
        </w:rPr>
        <w:t xml:space="preserve"> for both SDRs and reporting </w:t>
      </w:r>
      <w:r w:rsidR="0054532F">
        <w:rPr>
          <w:rFonts w:ascii="Times New Roman" w:hAnsi="Times New Roman"/>
          <w:color w:val="000000"/>
          <w:szCs w:val="24"/>
        </w:rPr>
        <w:t xml:space="preserve">counterparties, </w:t>
      </w:r>
      <w:r w:rsidR="006225AE">
        <w:rPr>
          <w:rFonts w:ascii="Times New Roman" w:hAnsi="Times New Roman"/>
          <w:color w:val="000000"/>
          <w:szCs w:val="24"/>
        </w:rPr>
        <w:t>SDRs</w:t>
      </w:r>
      <w:r w:rsidR="00A32A05">
        <w:rPr>
          <w:rFonts w:ascii="Times New Roman" w:hAnsi="Times New Roman"/>
          <w:color w:val="000000"/>
          <w:szCs w:val="24"/>
        </w:rPr>
        <w:t xml:space="preserve"> must</w:t>
      </w:r>
      <w:r w:rsidR="006225AE">
        <w:rPr>
          <w:rFonts w:ascii="Times New Roman" w:hAnsi="Times New Roman"/>
          <w:color w:val="000000"/>
          <w:szCs w:val="24"/>
        </w:rPr>
        <w:t xml:space="preserve"> retain the flexibi</w:t>
      </w:r>
      <w:r>
        <w:rPr>
          <w:rFonts w:ascii="Times New Roman" w:hAnsi="Times New Roman"/>
          <w:color w:val="000000"/>
          <w:szCs w:val="24"/>
        </w:rPr>
        <w:t>lity to accept a single message, as well as, to accept separate messages</w:t>
      </w:r>
      <w:r w:rsidR="006225AE">
        <w:rPr>
          <w:rFonts w:ascii="Times New Roman" w:hAnsi="Times New Roman"/>
          <w:color w:val="000000"/>
          <w:szCs w:val="24"/>
        </w:rPr>
        <w:t>.</w:t>
      </w:r>
      <w:r>
        <w:rPr>
          <w:rFonts w:ascii="Times New Roman" w:hAnsi="Times New Roman"/>
          <w:color w:val="000000"/>
          <w:szCs w:val="24"/>
        </w:rPr>
        <w:t xml:space="preserve">  Requiring that the SDRs accept only a single message or only separate messages will require substantial and costly modifications to the </w:t>
      </w:r>
      <w:r w:rsidR="00D176BD">
        <w:rPr>
          <w:rFonts w:ascii="Times New Roman" w:hAnsi="Times New Roman"/>
          <w:color w:val="000000"/>
          <w:szCs w:val="24"/>
        </w:rPr>
        <w:t xml:space="preserve">impacted </w:t>
      </w:r>
      <w:r>
        <w:rPr>
          <w:rFonts w:ascii="Times New Roman" w:hAnsi="Times New Roman"/>
          <w:color w:val="000000"/>
          <w:szCs w:val="24"/>
        </w:rPr>
        <w:t>SDRs</w:t>
      </w:r>
      <w:r w:rsidR="00D176BD">
        <w:rPr>
          <w:rFonts w:ascii="Times New Roman" w:hAnsi="Times New Roman"/>
          <w:color w:val="000000"/>
          <w:szCs w:val="24"/>
        </w:rPr>
        <w:t>’</w:t>
      </w:r>
      <w:r>
        <w:rPr>
          <w:rFonts w:ascii="Times New Roman" w:hAnsi="Times New Roman"/>
          <w:color w:val="000000"/>
          <w:szCs w:val="24"/>
        </w:rPr>
        <w:t xml:space="preserve"> systems</w:t>
      </w:r>
      <w:r w:rsidR="00D176BD">
        <w:rPr>
          <w:rFonts w:ascii="Times New Roman" w:hAnsi="Times New Roman"/>
          <w:color w:val="000000"/>
          <w:szCs w:val="24"/>
        </w:rPr>
        <w:t>,</w:t>
      </w:r>
      <w:r>
        <w:rPr>
          <w:rFonts w:ascii="Times New Roman" w:hAnsi="Times New Roman"/>
          <w:color w:val="000000"/>
          <w:szCs w:val="24"/>
        </w:rPr>
        <w:t xml:space="preserve"> as well as the reporting systems of market participants.</w:t>
      </w:r>
      <w:r w:rsidR="00C46DBC">
        <w:rPr>
          <w:rFonts w:ascii="Times New Roman" w:hAnsi="Times New Roman"/>
          <w:color w:val="000000"/>
          <w:szCs w:val="24"/>
        </w:rPr>
        <w:t xml:space="preserve">  Similarly, market participants have made significant investments in their existing infrastructure and it would cause undue burden to require an extensive architectural change.  Rather, the Commission should make allowances for additional methods of reporting.</w:t>
      </w:r>
    </w:p>
    <w:p w14:paraId="5E938021" w14:textId="77777777" w:rsidR="00490ABD" w:rsidRDefault="00490ABD" w:rsidP="00DF5754">
      <w:pPr>
        <w:autoSpaceDE w:val="0"/>
        <w:autoSpaceDN w:val="0"/>
        <w:adjustRightInd w:val="0"/>
        <w:rPr>
          <w:rFonts w:ascii="Times New Roman" w:hAnsi="Times New Roman"/>
          <w:color w:val="000000"/>
          <w:szCs w:val="24"/>
        </w:rPr>
      </w:pPr>
    </w:p>
    <w:p w14:paraId="5BA74C93" w14:textId="6D02B757" w:rsidR="00490ABD" w:rsidRDefault="00D57163" w:rsidP="00490ABD">
      <w:pPr>
        <w:autoSpaceDE w:val="0"/>
        <w:autoSpaceDN w:val="0"/>
        <w:adjustRightInd w:val="0"/>
        <w:rPr>
          <w:rFonts w:ascii="Times New Roman" w:hAnsi="Times New Roman"/>
          <w:color w:val="000000"/>
          <w:szCs w:val="24"/>
        </w:rPr>
      </w:pPr>
      <w:r>
        <w:rPr>
          <w:rFonts w:ascii="Times New Roman" w:hAnsi="Times New Roman"/>
          <w:color w:val="000000"/>
          <w:szCs w:val="24"/>
        </w:rPr>
        <w:t>While t</w:t>
      </w:r>
      <w:r w:rsidR="00490ABD">
        <w:rPr>
          <w:rFonts w:ascii="Times New Roman" w:hAnsi="Times New Roman"/>
          <w:color w:val="000000"/>
          <w:szCs w:val="24"/>
        </w:rPr>
        <w:t>he SDRs are generally supporti</w:t>
      </w:r>
      <w:bookmarkStart w:id="0" w:name="_GoBack"/>
      <w:bookmarkEnd w:id="0"/>
      <w:r w:rsidR="00490ABD">
        <w:rPr>
          <w:rFonts w:ascii="Times New Roman" w:hAnsi="Times New Roman"/>
          <w:color w:val="000000"/>
          <w:szCs w:val="24"/>
        </w:rPr>
        <w:t xml:space="preserve">ve of simplifying reporting and eliminating unnecessary </w:t>
      </w:r>
      <w:r w:rsidR="002A719D">
        <w:rPr>
          <w:rFonts w:ascii="Times New Roman" w:hAnsi="Times New Roman"/>
          <w:color w:val="000000"/>
          <w:szCs w:val="24"/>
        </w:rPr>
        <w:t>messages, the</w:t>
      </w:r>
      <w:r w:rsidR="00490ABD">
        <w:rPr>
          <w:rFonts w:ascii="Times New Roman" w:hAnsi="Times New Roman"/>
          <w:color w:val="000000"/>
          <w:szCs w:val="24"/>
        </w:rPr>
        <w:t xml:space="preserve"> SDRs </w:t>
      </w:r>
      <w:r>
        <w:rPr>
          <w:rFonts w:ascii="Times New Roman" w:hAnsi="Times New Roman"/>
          <w:color w:val="000000"/>
          <w:szCs w:val="24"/>
        </w:rPr>
        <w:t xml:space="preserve">request </w:t>
      </w:r>
      <w:r w:rsidR="00490ABD">
        <w:rPr>
          <w:rFonts w:ascii="Times New Roman" w:hAnsi="Times New Roman"/>
          <w:color w:val="000000"/>
          <w:szCs w:val="24"/>
        </w:rPr>
        <w:t xml:space="preserve">the Commission allow the SDRs the necessary flexibility to retain certain </w:t>
      </w:r>
      <w:r w:rsidR="00297F08">
        <w:rPr>
          <w:rFonts w:ascii="Times New Roman" w:hAnsi="Times New Roman"/>
          <w:color w:val="000000"/>
          <w:szCs w:val="24"/>
        </w:rPr>
        <w:t xml:space="preserve">elements </w:t>
      </w:r>
      <w:r w:rsidR="00490ABD">
        <w:rPr>
          <w:rFonts w:ascii="Times New Roman" w:hAnsi="Times New Roman"/>
          <w:color w:val="000000"/>
          <w:szCs w:val="24"/>
        </w:rPr>
        <w:t xml:space="preserve">of their systems. </w:t>
      </w:r>
      <w:r w:rsidR="001F4CA9">
        <w:rPr>
          <w:rFonts w:ascii="Times New Roman" w:hAnsi="Times New Roman"/>
          <w:color w:val="000000"/>
          <w:szCs w:val="24"/>
        </w:rPr>
        <w:t xml:space="preserve"> </w:t>
      </w:r>
    </w:p>
    <w:p w14:paraId="5516BD3C" w14:textId="77777777" w:rsidR="00DF5754" w:rsidRPr="00DF5754" w:rsidRDefault="00DF5754" w:rsidP="00DF5754">
      <w:pPr>
        <w:autoSpaceDE w:val="0"/>
        <w:autoSpaceDN w:val="0"/>
        <w:adjustRightInd w:val="0"/>
        <w:rPr>
          <w:rFonts w:ascii="Times New Roman" w:hAnsi="Times New Roman"/>
          <w:color w:val="000000"/>
          <w:szCs w:val="24"/>
        </w:rPr>
      </w:pPr>
    </w:p>
    <w:p w14:paraId="646678C4" w14:textId="77777777" w:rsidR="00B65497" w:rsidRDefault="00B65497" w:rsidP="007C0EAC">
      <w:pPr>
        <w:pStyle w:val="ListParagraph"/>
        <w:numPr>
          <w:ilvl w:val="1"/>
          <w:numId w:val="6"/>
        </w:numPr>
        <w:autoSpaceDE w:val="0"/>
        <w:autoSpaceDN w:val="0"/>
        <w:adjustRightInd w:val="0"/>
        <w:rPr>
          <w:rFonts w:ascii="Times New Roman" w:hAnsi="Times New Roman"/>
          <w:b/>
          <w:color w:val="000000"/>
          <w:szCs w:val="24"/>
        </w:rPr>
      </w:pPr>
      <w:r w:rsidRPr="00583E2D">
        <w:rPr>
          <w:rFonts w:ascii="Times New Roman" w:hAnsi="Times New Roman"/>
          <w:b/>
          <w:color w:val="000000"/>
          <w:szCs w:val="24"/>
        </w:rPr>
        <w:t>Focus on Key Data Fields</w:t>
      </w:r>
    </w:p>
    <w:p w14:paraId="4A33EC77" w14:textId="77777777" w:rsidR="004675F6" w:rsidRDefault="004675F6" w:rsidP="004675F6">
      <w:pPr>
        <w:autoSpaceDE w:val="0"/>
        <w:autoSpaceDN w:val="0"/>
        <w:adjustRightInd w:val="0"/>
        <w:rPr>
          <w:rFonts w:ascii="Times New Roman" w:hAnsi="Times New Roman"/>
          <w:b/>
          <w:color w:val="000000"/>
          <w:szCs w:val="24"/>
        </w:rPr>
      </w:pPr>
    </w:p>
    <w:p w14:paraId="45037556" w14:textId="77777777" w:rsidR="004373D7" w:rsidRDefault="004373D7" w:rsidP="006E04CE">
      <w:pPr>
        <w:autoSpaceDE w:val="0"/>
        <w:autoSpaceDN w:val="0"/>
        <w:adjustRightInd w:val="0"/>
        <w:rPr>
          <w:rFonts w:ascii="Times New Roman" w:hAnsi="Times New Roman"/>
          <w:b/>
          <w:i/>
          <w:color w:val="000000"/>
          <w:szCs w:val="24"/>
        </w:rPr>
      </w:pPr>
      <w:r w:rsidRPr="006E04CE">
        <w:rPr>
          <w:rFonts w:ascii="Times New Roman" w:hAnsi="Times New Roman"/>
          <w:b/>
          <w:i/>
          <w:color w:val="000000"/>
          <w:szCs w:val="24"/>
        </w:rPr>
        <w:t>Work to harmonize data fields with foreign regulators, building on CPMI-IOSCO process and Dec 2015 CFTC RFC</w:t>
      </w:r>
    </w:p>
    <w:p w14:paraId="30B9317F" w14:textId="77777777" w:rsidR="006E04CE" w:rsidRPr="006E04CE" w:rsidRDefault="006E04CE" w:rsidP="006E04CE">
      <w:pPr>
        <w:autoSpaceDE w:val="0"/>
        <w:autoSpaceDN w:val="0"/>
        <w:adjustRightInd w:val="0"/>
        <w:rPr>
          <w:rFonts w:ascii="Times New Roman" w:hAnsi="Times New Roman"/>
          <w:b/>
          <w:i/>
          <w:color w:val="000000"/>
          <w:szCs w:val="24"/>
        </w:rPr>
      </w:pPr>
    </w:p>
    <w:p w14:paraId="440FB813" w14:textId="031ECBE3" w:rsidR="00F71933" w:rsidRPr="00D176BD" w:rsidRDefault="006E04CE">
      <w:pPr>
        <w:autoSpaceDE w:val="0"/>
        <w:autoSpaceDN w:val="0"/>
        <w:adjustRightInd w:val="0"/>
        <w:rPr>
          <w:rFonts w:ascii="Times New Roman" w:hAnsi="Times New Roman"/>
        </w:rPr>
      </w:pPr>
      <w:r>
        <w:rPr>
          <w:rFonts w:ascii="Times New Roman" w:hAnsi="Times New Roman"/>
          <w:color w:val="000000"/>
          <w:szCs w:val="24"/>
        </w:rPr>
        <w:t>The SDRs are supportive of global harmonization efforts</w:t>
      </w:r>
      <w:r w:rsidR="00A32A05">
        <w:rPr>
          <w:rFonts w:ascii="Times New Roman" w:hAnsi="Times New Roman"/>
          <w:color w:val="000000"/>
          <w:szCs w:val="24"/>
        </w:rPr>
        <w:t xml:space="preserve"> generally and believe these efforts will bolster the CFTC’s stated goals</w:t>
      </w:r>
      <w:r w:rsidR="00A32A05">
        <w:rPr>
          <w:rStyle w:val="FootnoteReference"/>
          <w:rFonts w:ascii="Times New Roman" w:hAnsi="Times New Roman"/>
          <w:color w:val="000000"/>
          <w:szCs w:val="24"/>
        </w:rPr>
        <w:footnoteReference w:id="9"/>
      </w:r>
      <w:r w:rsidR="00A32A05">
        <w:rPr>
          <w:rFonts w:ascii="Times New Roman" w:hAnsi="Times New Roman"/>
          <w:color w:val="000000"/>
          <w:szCs w:val="24"/>
        </w:rPr>
        <w:t>.  For example</w:t>
      </w:r>
      <w:r w:rsidR="009051C1">
        <w:rPr>
          <w:rFonts w:ascii="Times New Roman" w:hAnsi="Times New Roman"/>
          <w:color w:val="000000"/>
          <w:szCs w:val="24"/>
        </w:rPr>
        <w:t>,</w:t>
      </w:r>
      <w:r w:rsidR="00A32A05">
        <w:rPr>
          <w:rFonts w:ascii="Times New Roman" w:hAnsi="Times New Roman"/>
          <w:color w:val="000000"/>
          <w:szCs w:val="24"/>
        </w:rPr>
        <w:t xml:space="preserve"> implementing</w:t>
      </w:r>
      <w:r w:rsidR="009051C1" w:rsidRPr="009051C1">
        <w:rPr>
          <w:rFonts w:ascii="Times New Roman" w:hAnsi="Times New Roman"/>
          <w:color w:val="000000"/>
          <w:szCs w:val="24"/>
        </w:rPr>
        <w:t xml:space="preserve"> </w:t>
      </w:r>
      <w:r w:rsidR="009051C1">
        <w:rPr>
          <w:rFonts w:ascii="Times New Roman" w:hAnsi="Times New Roman"/>
          <w:color w:val="000000"/>
          <w:szCs w:val="24"/>
        </w:rPr>
        <w:t xml:space="preserve">CPMI-IOSCO guidance on </w:t>
      </w:r>
      <w:r w:rsidR="00C46DBC">
        <w:rPr>
          <w:rFonts w:ascii="Times New Roman" w:hAnsi="Times New Roman"/>
          <w:color w:val="000000"/>
          <w:szCs w:val="24"/>
        </w:rPr>
        <w:t xml:space="preserve">unique transaction identifiers </w:t>
      </w:r>
      <w:r w:rsidR="009051C1">
        <w:rPr>
          <w:rFonts w:ascii="Times New Roman" w:hAnsi="Times New Roman"/>
          <w:color w:val="000000"/>
          <w:szCs w:val="24"/>
        </w:rPr>
        <w:t xml:space="preserve">(referred to as a </w:t>
      </w:r>
      <w:r w:rsidR="00C46DBC">
        <w:rPr>
          <w:rFonts w:ascii="Times New Roman" w:hAnsi="Times New Roman"/>
          <w:color w:val="000000"/>
          <w:szCs w:val="24"/>
        </w:rPr>
        <w:t xml:space="preserve">unique swap identifier </w:t>
      </w:r>
      <w:r w:rsidR="009051C1">
        <w:rPr>
          <w:rFonts w:ascii="Times New Roman" w:hAnsi="Times New Roman"/>
          <w:color w:val="000000"/>
          <w:szCs w:val="24"/>
        </w:rPr>
        <w:t>under Commission regulations</w:t>
      </w:r>
      <w:r w:rsidR="00F71933">
        <w:rPr>
          <w:rStyle w:val="FootnoteReference"/>
          <w:rFonts w:ascii="Times New Roman" w:hAnsi="Times New Roman"/>
          <w:color w:val="000000"/>
          <w:szCs w:val="24"/>
        </w:rPr>
        <w:footnoteReference w:id="10"/>
      </w:r>
      <w:r w:rsidR="009051C1">
        <w:rPr>
          <w:rFonts w:ascii="Times New Roman" w:hAnsi="Times New Roman"/>
          <w:color w:val="000000"/>
          <w:szCs w:val="24"/>
        </w:rPr>
        <w:t xml:space="preserve">) without modification would both streamline reporting and reduce messages that must be reported.  </w:t>
      </w:r>
      <w:r w:rsidR="00880392">
        <w:rPr>
          <w:rFonts w:ascii="Times New Roman" w:hAnsi="Times New Roman"/>
          <w:color w:val="000000"/>
          <w:szCs w:val="24"/>
        </w:rPr>
        <w:t>More specifically, p</w:t>
      </w:r>
      <w:r w:rsidR="00C40FC1">
        <w:rPr>
          <w:rFonts w:ascii="Times New Roman" w:hAnsi="Times New Roman"/>
          <w:color w:val="000000"/>
          <w:szCs w:val="24"/>
        </w:rPr>
        <w:t>ursuant to the g</w:t>
      </w:r>
      <w:r w:rsidR="009051C1">
        <w:rPr>
          <w:rFonts w:ascii="Times New Roman" w:hAnsi="Times New Roman"/>
          <w:color w:val="000000"/>
          <w:szCs w:val="24"/>
        </w:rPr>
        <w:t>uidance</w:t>
      </w:r>
      <w:r w:rsidR="0054532F">
        <w:rPr>
          <w:rFonts w:ascii="Times New Roman" w:hAnsi="Times New Roman"/>
          <w:color w:val="000000"/>
          <w:szCs w:val="24"/>
        </w:rPr>
        <w:t xml:space="preserve">, </w:t>
      </w:r>
      <w:r w:rsidR="005108CC">
        <w:rPr>
          <w:rFonts w:ascii="Times New Roman" w:hAnsi="Times New Roman"/>
          <w:color w:val="000000"/>
          <w:szCs w:val="24"/>
        </w:rPr>
        <w:t>USI generation w</w:t>
      </w:r>
      <w:r w:rsidR="009051C1">
        <w:rPr>
          <w:rFonts w:ascii="Times New Roman" w:hAnsi="Times New Roman"/>
          <w:color w:val="000000"/>
          <w:szCs w:val="24"/>
        </w:rPr>
        <w:t>ould</w:t>
      </w:r>
      <w:r w:rsidR="005108CC">
        <w:rPr>
          <w:rFonts w:ascii="Times New Roman" w:hAnsi="Times New Roman"/>
          <w:color w:val="000000"/>
          <w:szCs w:val="24"/>
        </w:rPr>
        <w:t xml:space="preserve"> </w:t>
      </w:r>
      <w:r w:rsidR="009051C1">
        <w:rPr>
          <w:rFonts w:ascii="Times New Roman" w:hAnsi="Times New Roman"/>
          <w:color w:val="000000"/>
          <w:szCs w:val="24"/>
        </w:rPr>
        <w:t>no longer</w:t>
      </w:r>
      <w:r w:rsidR="005108CC">
        <w:rPr>
          <w:rFonts w:ascii="Times New Roman" w:hAnsi="Times New Roman"/>
          <w:color w:val="000000"/>
          <w:szCs w:val="24"/>
        </w:rPr>
        <w:t xml:space="preserve"> be limited CFTC registrants, as is currently the case under </w:t>
      </w:r>
      <w:r w:rsidR="0054532F" w:rsidRPr="003337AF">
        <w:rPr>
          <w:rFonts w:ascii="Times New Roman" w:hAnsi="Times New Roman"/>
          <w:szCs w:val="24"/>
        </w:rPr>
        <w:t>§</w:t>
      </w:r>
      <w:r w:rsidR="0054532F">
        <w:rPr>
          <w:rFonts w:ascii="Times New Roman" w:hAnsi="Times New Roman"/>
          <w:szCs w:val="24"/>
        </w:rPr>
        <w:t xml:space="preserve"> </w:t>
      </w:r>
      <w:r w:rsidR="009051C1">
        <w:rPr>
          <w:rFonts w:ascii="Times New Roman" w:hAnsi="Times New Roman"/>
          <w:color w:val="000000"/>
          <w:szCs w:val="24"/>
        </w:rPr>
        <w:t>45.5</w:t>
      </w:r>
      <w:r w:rsidR="005108CC">
        <w:rPr>
          <w:rFonts w:ascii="Times New Roman" w:hAnsi="Times New Roman"/>
          <w:color w:val="000000"/>
          <w:szCs w:val="24"/>
        </w:rPr>
        <w:t xml:space="preserve">. </w:t>
      </w:r>
      <w:r w:rsidR="0057426E">
        <w:rPr>
          <w:rFonts w:ascii="Times New Roman" w:hAnsi="Times New Roman"/>
          <w:color w:val="000000"/>
          <w:szCs w:val="24"/>
        </w:rPr>
        <w:t xml:space="preserve"> Such</w:t>
      </w:r>
      <w:r w:rsidR="00212C00" w:rsidRPr="00226E6B">
        <w:rPr>
          <w:rFonts w:ascii="Times New Roman" w:hAnsi="Times New Roman"/>
        </w:rPr>
        <w:t xml:space="preserve"> change</w:t>
      </w:r>
      <w:r w:rsidR="0057426E">
        <w:rPr>
          <w:rFonts w:ascii="Times New Roman" w:hAnsi="Times New Roman"/>
        </w:rPr>
        <w:t>s</w:t>
      </w:r>
      <w:r w:rsidR="00212C00" w:rsidRPr="00226E6B">
        <w:rPr>
          <w:rFonts w:ascii="Times New Roman" w:hAnsi="Times New Roman"/>
        </w:rPr>
        <w:t xml:space="preserve"> would </w:t>
      </w:r>
      <w:r w:rsidR="0057426E">
        <w:rPr>
          <w:rFonts w:ascii="Times New Roman" w:hAnsi="Times New Roman"/>
        </w:rPr>
        <w:t>enable</w:t>
      </w:r>
      <w:r w:rsidR="00292192">
        <w:rPr>
          <w:rFonts w:ascii="Times New Roman" w:hAnsi="Times New Roman"/>
        </w:rPr>
        <w:t xml:space="preserve"> </w:t>
      </w:r>
      <w:r w:rsidR="009051C1">
        <w:rPr>
          <w:rFonts w:ascii="Times New Roman" w:hAnsi="Times New Roman"/>
        </w:rPr>
        <w:t>anyone with an LEI</w:t>
      </w:r>
      <w:r w:rsidR="0054532F">
        <w:rPr>
          <w:rFonts w:ascii="Times New Roman" w:hAnsi="Times New Roman"/>
        </w:rPr>
        <w:t xml:space="preserve"> </w:t>
      </w:r>
      <w:r w:rsidR="00F43ADB">
        <w:rPr>
          <w:rFonts w:ascii="Times New Roman" w:hAnsi="Times New Roman"/>
        </w:rPr>
        <w:t xml:space="preserve">to </w:t>
      </w:r>
      <w:r w:rsidR="0054532F">
        <w:rPr>
          <w:rFonts w:ascii="Times New Roman" w:hAnsi="Times New Roman"/>
        </w:rPr>
        <w:t>create a USI and</w:t>
      </w:r>
      <w:r w:rsidR="00212C00" w:rsidRPr="00226E6B">
        <w:rPr>
          <w:rFonts w:ascii="Times New Roman" w:hAnsi="Times New Roman"/>
        </w:rPr>
        <w:t xml:space="preserve"> SDRs </w:t>
      </w:r>
      <w:r w:rsidR="00DC4B58">
        <w:rPr>
          <w:rFonts w:ascii="Times New Roman" w:hAnsi="Times New Roman"/>
        </w:rPr>
        <w:t xml:space="preserve">would no longer need to </w:t>
      </w:r>
      <w:r w:rsidR="00212C00" w:rsidRPr="00226E6B">
        <w:rPr>
          <w:rFonts w:ascii="Times New Roman" w:hAnsi="Times New Roman"/>
        </w:rPr>
        <w:t xml:space="preserve">generate USIs and </w:t>
      </w:r>
      <w:r w:rsidR="00212C00" w:rsidRPr="00226E6B">
        <w:rPr>
          <w:rFonts w:ascii="Times New Roman" w:hAnsi="Times New Roman"/>
        </w:rPr>
        <w:lastRenderedPageBreak/>
        <w:t xml:space="preserve">transmit </w:t>
      </w:r>
      <w:r w:rsidR="00D176BD">
        <w:rPr>
          <w:rFonts w:ascii="Times New Roman" w:hAnsi="Times New Roman"/>
        </w:rPr>
        <w:t>t</w:t>
      </w:r>
      <w:r w:rsidR="00212C00" w:rsidRPr="00226E6B">
        <w:rPr>
          <w:rFonts w:ascii="Times New Roman" w:hAnsi="Times New Roman"/>
        </w:rPr>
        <w:t>hem</w:t>
      </w:r>
      <w:r w:rsidR="006B685E">
        <w:rPr>
          <w:rFonts w:ascii="Times New Roman" w:hAnsi="Times New Roman"/>
        </w:rPr>
        <w:t xml:space="preserve"> to non-SD and non-MSP</w:t>
      </w:r>
      <w:r w:rsidR="00212C00" w:rsidRPr="00226E6B">
        <w:rPr>
          <w:rFonts w:ascii="Times New Roman" w:hAnsi="Times New Roman"/>
        </w:rPr>
        <w:t xml:space="preserve"> swap counterparties</w:t>
      </w:r>
      <w:r w:rsidR="005B6FBD">
        <w:rPr>
          <w:rStyle w:val="FootnoteReference"/>
          <w:rFonts w:ascii="Times New Roman" w:hAnsi="Times New Roman"/>
        </w:rPr>
        <w:footnoteReference w:id="11"/>
      </w:r>
      <w:r w:rsidR="003337AF">
        <w:rPr>
          <w:rStyle w:val="FootnoteReference"/>
          <w:rFonts w:ascii="Times New Roman" w:hAnsi="Times New Roman"/>
        </w:rPr>
        <w:footnoteReference w:id="12"/>
      </w:r>
      <w:r w:rsidR="00880392">
        <w:rPr>
          <w:rFonts w:ascii="Times New Roman" w:hAnsi="Times New Roman"/>
        </w:rPr>
        <w:t xml:space="preserve">, </w:t>
      </w:r>
      <w:r w:rsidR="00F71933">
        <w:rPr>
          <w:rFonts w:ascii="Times New Roman" w:hAnsi="Times New Roman"/>
        </w:rPr>
        <w:t xml:space="preserve">thereby </w:t>
      </w:r>
      <w:r w:rsidR="00880392">
        <w:rPr>
          <w:rFonts w:ascii="Times New Roman" w:hAnsi="Times New Roman"/>
        </w:rPr>
        <w:t>streamlining reporting and reducing the number of messages that must be sent</w:t>
      </w:r>
      <w:r w:rsidR="00212C00" w:rsidRPr="00226E6B">
        <w:rPr>
          <w:rFonts w:ascii="Times New Roman" w:hAnsi="Times New Roman"/>
        </w:rPr>
        <w:t>.</w:t>
      </w:r>
      <w:r w:rsidR="00C46DBC">
        <w:rPr>
          <w:rFonts w:ascii="Times New Roman" w:hAnsi="Times New Roman"/>
        </w:rPr>
        <w:t xml:space="preserve">  </w:t>
      </w:r>
    </w:p>
    <w:p w14:paraId="36914EBB" w14:textId="77777777" w:rsidR="00212C00" w:rsidRDefault="00212C00" w:rsidP="00212C00">
      <w:pPr>
        <w:pStyle w:val="CommentText"/>
      </w:pPr>
    </w:p>
    <w:p w14:paraId="7F8637F1" w14:textId="77777777" w:rsidR="004373D7" w:rsidRPr="006E04CE" w:rsidRDefault="004373D7" w:rsidP="006E04CE">
      <w:pPr>
        <w:autoSpaceDE w:val="0"/>
        <w:autoSpaceDN w:val="0"/>
        <w:adjustRightInd w:val="0"/>
        <w:rPr>
          <w:rFonts w:ascii="Times New Roman" w:hAnsi="Times New Roman"/>
          <w:b/>
          <w:i/>
          <w:color w:val="000000"/>
          <w:szCs w:val="24"/>
        </w:rPr>
      </w:pPr>
      <w:r w:rsidRPr="006E04CE">
        <w:rPr>
          <w:rFonts w:ascii="Times New Roman" w:hAnsi="Times New Roman"/>
          <w:b/>
          <w:i/>
          <w:color w:val="000000"/>
          <w:szCs w:val="24"/>
        </w:rPr>
        <w:t>Look to reduce the number of fields currently reported</w:t>
      </w:r>
    </w:p>
    <w:p w14:paraId="5B1D1ADA" w14:textId="77777777" w:rsidR="006E04CE" w:rsidRDefault="006E04CE" w:rsidP="006E04CE">
      <w:pPr>
        <w:autoSpaceDE w:val="0"/>
        <w:autoSpaceDN w:val="0"/>
        <w:adjustRightInd w:val="0"/>
        <w:rPr>
          <w:rFonts w:ascii="Times New Roman" w:hAnsi="Times New Roman"/>
          <w:b/>
          <w:i/>
          <w:color w:val="000000"/>
          <w:szCs w:val="24"/>
        </w:rPr>
      </w:pPr>
    </w:p>
    <w:p w14:paraId="069BF23E" w14:textId="3B6B6662" w:rsidR="006E04CE" w:rsidRDefault="006E04CE" w:rsidP="006E04CE">
      <w:pPr>
        <w:autoSpaceDE w:val="0"/>
        <w:autoSpaceDN w:val="0"/>
        <w:adjustRightInd w:val="0"/>
        <w:rPr>
          <w:rFonts w:ascii="Times New Roman" w:hAnsi="Times New Roman"/>
          <w:color w:val="000000"/>
          <w:szCs w:val="24"/>
        </w:rPr>
      </w:pPr>
      <w:r>
        <w:rPr>
          <w:rFonts w:ascii="Times New Roman" w:hAnsi="Times New Roman"/>
          <w:color w:val="000000"/>
          <w:szCs w:val="24"/>
        </w:rPr>
        <w:t xml:space="preserve">The SDRs are supportive of limiting fields to those that the CFTC requires to perform its oversight functions.  Doing so will reduce burdens on reporting counterparties and the SDRs while </w:t>
      </w:r>
      <w:r w:rsidR="00A0604A">
        <w:rPr>
          <w:rFonts w:ascii="Times New Roman" w:hAnsi="Times New Roman"/>
          <w:color w:val="000000"/>
          <w:szCs w:val="24"/>
        </w:rPr>
        <w:t xml:space="preserve">still </w:t>
      </w:r>
      <w:r>
        <w:rPr>
          <w:rFonts w:ascii="Times New Roman" w:hAnsi="Times New Roman"/>
          <w:color w:val="000000"/>
          <w:szCs w:val="24"/>
        </w:rPr>
        <w:t xml:space="preserve">ensuring that the Commission can carry out its mandate. </w:t>
      </w:r>
      <w:r w:rsidR="00926EE1">
        <w:rPr>
          <w:rFonts w:ascii="Times New Roman" w:hAnsi="Times New Roman"/>
          <w:color w:val="000000"/>
          <w:szCs w:val="24"/>
        </w:rPr>
        <w:t>By reducing the number of fields to be reported, the confirmation of completeness and accuracy will be less of a burden and the SDRs will be able to simplify their systems and processes.</w:t>
      </w:r>
      <w:r>
        <w:rPr>
          <w:rFonts w:ascii="Times New Roman" w:hAnsi="Times New Roman"/>
          <w:color w:val="000000"/>
          <w:szCs w:val="24"/>
        </w:rPr>
        <w:t xml:space="preserve"> </w:t>
      </w:r>
    </w:p>
    <w:p w14:paraId="27A8EE38" w14:textId="77777777" w:rsidR="006E04CE" w:rsidRPr="006E04CE" w:rsidRDefault="006E04CE" w:rsidP="006E04CE">
      <w:pPr>
        <w:autoSpaceDE w:val="0"/>
        <w:autoSpaceDN w:val="0"/>
        <w:adjustRightInd w:val="0"/>
        <w:rPr>
          <w:rFonts w:ascii="Times New Roman" w:hAnsi="Times New Roman"/>
          <w:color w:val="000000"/>
          <w:szCs w:val="24"/>
        </w:rPr>
      </w:pPr>
    </w:p>
    <w:p w14:paraId="16C7AEF1" w14:textId="77777777" w:rsidR="004373D7" w:rsidRDefault="004373D7" w:rsidP="006E04CE">
      <w:pPr>
        <w:autoSpaceDE w:val="0"/>
        <w:autoSpaceDN w:val="0"/>
        <w:adjustRightInd w:val="0"/>
        <w:rPr>
          <w:rFonts w:ascii="Times New Roman" w:hAnsi="Times New Roman"/>
          <w:b/>
          <w:i/>
          <w:color w:val="000000"/>
          <w:szCs w:val="24"/>
        </w:rPr>
      </w:pPr>
      <w:r w:rsidRPr="006E04CE">
        <w:rPr>
          <w:rFonts w:ascii="Times New Roman" w:hAnsi="Times New Roman"/>
          <w:b/>
          <w:i/>
          <w:color w:val="000000"/>
          <w:szCs w:val="24"/>
        </w:rPr>
        <w:t>Focus on minimum number of fields that allow CFTC to perform its oversight functions, rather than capturing every data point on a swap</w:t>
      </w:r>
    </w:p>
    <w:p w14:paraId="058F09CE" w14:textId="77777777" w:rsidR="006E04CE" w:rsidRDefault="006E04CE" w:rsidP="006E04CE">
      <w:pPr>
        <w:autoSpaceDE w:val="0"/>
        <w:autoSpaceDN w:val="0"/>
        <w:adjustRightInd w:val="0"/>
        <w:rPr>
          <w:rFonts w:ascii="Times New Roman" w:hAnsi="Times New Roman"/>
          <w:b/>
          <w:color w:val="000000"/>
          <w:szCs w:val="24"/>
        </w:rPr>
      </w:pPr>
    </w:p>
    <w:p w14:paraId="5B77C46E" w14:textId="77777777" w:rsidR="006E04CE" w:rsidRDefault="006E04CE" w:rsidP="006E04CE">
      <w:pPr>
        <w:autoSpaceDE w:val="0"/>
        <w:autoSpaceDN w:val="0"/>
        <w:adjustRightInd w:val="0"/>
        <w:rPr>
          <w:rFonts w:ascii="Times New Roman" w:hAnsi="Times New Roman"/>
          <w:color w:val="000000"/>
          <w:szCs w:val="24"/>
        </w:rPr>
      </w:pPr>
      <w:r>
        <w:rPr>
          <w:rFonts w:ascii="Times New Roman" w:hAnsi="Times New Roman"/>
          <w:color w:val="000000"/>
          <w:szCs w:val="24"/>
        </w:rPr>
        <w:t xml:space="preserve">The SDRs are supportive of limiting fields to those that the CFTC requires to perform its oversight functions.  </w:t>
      </w:r>
    </w:p>
    <w:p w14:paraId="1CB78A54" w14:textId="77777777" w:rsidR="006E04CE" w:rsidRPr="006E04CE" w:rsidRDefault="006E04CE" w:rsidP="006E04CE">
      <w:pPr>
        <w:rPr>
          <w:rFonts w:ascii="Times New Roman" w:hAnsi="Times New Roman"/>
          <w:b/>
          <w:i/>
          <w:color w:val="000000"/>
          <w:szCs w:val="24"/>
        </w:rPr>
      </w:pPr>
    </w:p>
    <w:p w14:paraId="48426E3D" w14:textId="77777777" w:rsidR="004373D7" w:rsidRPr="00F43ADB" w:rsidRDefault="004373D7" w:rsidP="006E04CE">
      <w:pPr>
        <w:rPr>
          <w:rFonts w:ascii="Times New Roman" w:hAnsi="Times New Roman"/>
          <w:b/>
          <w:i/>
          <w:color w:val="000000"/>
          <w:szCs w:val="24"/>
        </w:rPr>
      </w:pPr>
      <w:r w:rsidRPr="00F43ADB">
        <w:rPr>
          <w:rFonts w:ascii="Times New Roman" w:hAnsi="Times New Roman"/>
          <w:b/>
          <w:i/>
          <w:color w:val="000000"/>
          <w:szCs w:val="24"/>
        </w:rPr>
        <w:t>May expand to cover margin movements and discrete data points relating to risk and positions, with an eye to consistency with how this is reported under ESMA rules</w:t>
      </w:r>
    </w:p>
    <w:p w14:paraId="378BFD11" w14:textId="77777777" w:rsidR="006E04CE" w:rsidRPr="00383F3A" w:rsidRDefault="006E04CE" w:rsidP="006E04CE">
      <w:pPr>
        <w:rPr>
          <w:rFonts w:ascii="Times New Roman" w:hAnsi="Times New Roman"/>
          <w:b/>
          <w:i/>
          <w:color w:val="000000"/>
          <w:szCs w:val="24"/>
          <w:highlight w:val="yellow"/>
        </w:rPr>
      </w:pPr>
    </w:p>
    <w:p w14:paraId="6DB841B6" w14:textId="77777777" w:rsidR="00F43ADB" w:rsidRPr="00926EE1" w:rsidRDefault="00F43ADB" w:rsidP="00F43ADB">
      <w:pPr>
        <w:spacing w:after="160" w:line="259" w:lineRule="auto"/>
        <w:rPr>
          <w:color w:val="FF0000"/>
        </w:rPr>
      </w:pPr>
      <w:r w:rsidRPr="00961BA2">
        <w:rPr>
          <w:rFonts w:ascii="Times New Roman" w:hAnsi="Times New Roman"/>
          <w:color w:val="000000"/>
          <w:szCs w:val="24"/>
        </w:rPr>
        <w:t>The SDRs do not have an opinion on this topic.</w:t>
      </w:r>
    </w:p>
    <w:p w14:paraId="71232DA4" w14:textId="77777777" w:rsidR="006E04CE" w:rsidRPr="00961BA2" w:rsidRDefault="006E04CE" w:rsidP="006E04CE">
      <w:pPr>
        <w:rPr>
          <w:rFonts w:ascii="Times New Roman" w:hAnsi="Times New Roman"/>
          <w:b/>
          <w:i/>
          <w:color w:val="000000"/>
          <w:szCs w:val="24"/>
        </w:rPr>
      </w:pPr>
    </w:p>
    <w:p w14:paraId="6D9AE822" w14:textId="77777777" w:rsidR="004373D7" w:rsidRPr="00961BA2" w:rsidRDefault="004373D7" w:rsidP="006E04CE">
      <w:pPr>
        <w:rPr>
          <w:rFonts w:ascii="Times New Roman" w:hAnsi="Times New Roman"/>
          <w:b/>
          <w:i/>
          <w:color w:val="000000"/>
          <w:szCs w:val="24"/>
        </w:rPr>
      </w:pPr>
      <w:r w:rsidRPr="00961BA2">
        <w:rPr>
          <w:rFonts w:ascii="Times New Roman" w:hAnsi="Times New Roman"/>
          <w:b/>
          <w:i/>
          <w:color w:val="000000"/>
          <w:szCs w:val="24"/>
        </w:rPr>
        <w:t>Recordkeeping requirements would continue for all terms of a swap, even those not required to be reported</w:t>
      </w:r>
    </w:p>
    <w:p w14:paraId="6AC84E6B" w14:textId="77777777" w:rsidR="00926EE1" w:rsidRPr="00961BA2" w:rsidRDefault="00926EE1" w:rsidP="006E04CE">
      <w:pPr>
        <w:rPr>
          <w:rFonts w:ascii="Times New Roman" w:hAnsi="Times New Roman"/>
          <w:color w:val="000000"/>
          <w:szCs w:val="24"/>
        </w:rPr>
      </w:pPr>
    </w:p>
    <w:p w14:paraId="217558A2" w14:textId="77777777" w:rsidR="00926EE1" w:rsidRPr="00926EE1" w:rsidRDefault="00961BA2" w:rsidP="00926EE1">
      <w:pPr>
        <w:spacing w:after="160" w:line="259" w:lineRule="auto"/>
        <w:rPr>
          <w:color w:val="FF0000"/>
        </w:rPr>
      </w:pPr>
      <w:r w:rsidRPr="00961BA2">
        <w:rPr>
          <w:rFonts w:ascii="Times New Roman" w:hAnsi="Times New Roman"/>
          <w:color w:val="000000"/>
          <w:szCs w:val="24"/>
        </w:rPr>
        <w:t>The SDRs do not have an opinion on this topic.</w:t>
      </w:r>
    </w:p>
    <w:p w14:paraId="2DD5F8C6" w14:textId="77777777" w:rsidR="004373D7" w:rsidRPr="00583E2D" w:rsidRDefault="004373D7" w:rsidP="007C0EAC">
      <w:pPr>
        <w:pStyle w:val="ListParagraph"/>
        <w:numPr>
          <w:ilvl w:val="1"/>
          <w:numId w:val="6"/>
        </w:numPr>
        <w:autoSpaceDE w:val="0"/>
        <w:autoSpaceDN w:val="0"/>
        <w:adjustRightInd w:val="0"/>
        <w:rPr>
          <w:rFonts w:ascii="Times New Roman" w:hAnsi="Times New Roman"/>
          <w:b/>
          <w:color w:val="000000"/>
          <w:szCs w:val="24"/>
        </w:rPr>
      </w:pPr>
      <w:r w:rsidRPr="00583E2D">
        <w:rPr>
          <w:rFonts w:ascii="Times New Roman" w:hAnsi="Times New Roman"/>
          <w:b/>
          <w:color w:val="000000"/>
          <w:szCs w:val="24"/>
        </w:rPr>
        <w:t>Technical Specifications</w:t>
      </w:r>
    </w:p>
    <w:p w14:paraId="04B58712" w14:textId="77777777" w:rsidR="004675F6" w:rsidRDefault="004675F6" w:rsidP="004675F6">
      <w:pPr>
        <w:autoSpaceDE w:val="0"/>
        <w:autoSpaceDN w:val="0"/>
        <w:adjustRightInd w:val="0"/>
        <w:rPr>
          <w:rFonts w:ascii="Times New Roman" w:hAnsi="Times New Roman"/>
          <w:i/>
          <w:color w:val="000000"/>
          <w:szCs w:val="24"/>
        </w:rPr>
      </w:pPr>
    </w:p>
    <w:p w14:paraId="430B676D" w14:textId="77777777" w:rsidR="004373D7" w:rsidRPr="00525A0A" w:rsidRDefault="004373D7" w:rsidP="004675F6">
      <w:pPr>
        <w:autoSpaceDE w:val="0"/>
        <w:autoSpaceDN w:val="0"/>
        <w:adjustRightInd w:val="0"/>
        <w:rPr>
          <w:rFonts w:ascii="Times New Roman" w:hAnsi="Times New Roman"/>
          <w:b/>
          <w:i/>
          <w:color w:val="000000"/>
          <w:szCs w:val="24"/>
        </w:rPr>
      </w:pPr>
      <w:r w:rsidRPr="00525A0A">
        <w:rPr>
          <w:rFonts w:ascii="Times New Roman" w:hAnsi="Times New Roman"/>
          <w:b/>
          <w:i/>
          <w:color w:val="000000"/>
          <w:szCs w:val="24"/>
        </w:rPr>
        <w:t>Once CPMI</w:t>
      </w:r>
      <w:r w:rsidRPr="00525A0A">
        <w:rPr>
          <w:rFonts w:ascii="Cambria Math" w:hAnsi="Cambria Math" w:cs="Cambria Math"/>
          <w:b/>
          <w:i/>
          <w:color w:val="000000"/>
          <w:szCs w:val="24"/>
        </w:rPr>
        <w:t>‐</w:t>
      </w:r>
      <w:r w:rsidRPr="00525A0A">
        <w:rPr>
          <w:rFonts w:ascii="Times New Roman" w:hAnsi="Times New Roman"/>
          <w:b/>
          <w:i/>
          <w:color w:val="000000"/>
          <w:szCs w:val="24"/>
        </w:rPr>
        <w:t xml:space="preserve">IOSCO harmonization efforts have sufficiently progressed, Division will propose detailed technical specifications  </w:t>
      </w:r>
    </w:p>
    <w:p w14:paraId="278B88AE" w14:textId="77777777" w:rsidR="004675F6" w:rsidRDefault="004675F6" w:rsidP="004675F6">
      <w:pPr>
        <w:autoSpaceDE w:val="0"/>
        <w:autoSpaceDN w:val="0"/>
        <w:adjustRightInd w:val="0"/>
        <w:rPr>
          <w:rFonts w:ascii="Times New Roman" w:hAnsi="Times New Roman"/>
          <w:color w:val="000000"/>
          <w:szCs w:val="24"/>
        </w:rPr>
      </w:pPr>
    </w:p>
    <w:p w14:paraId="2F074B03" w14:textId="77777777" w:rsidR="00BF29FF" w:rsidRDefault="004675F6" w:rsidP="004675F6">
      <w:pPr>
        <w:autoSpaceDE w:val="0"/>
        <w:autoSpaceDN w:val="0"/>
        <w:adjustRightInd w:val="0"/>
        <w:rPr>
          <w:rFonts w:ascii="Times New Roman" w:hAnsi="Times New Roman"/>
          <w:color w:val="000000"/>
          <w:szCs w:val="24"/>
        </w:rPr>
      </w:pPr>
      <w:r>
        <w:rPr>
          <w:rFonts w:ascii="Times New Roman" w:hAnsi="Times New Roman"/>
          <w:color w:val="000000"/>
          <w:szCs w:val="24"/>
        </w:rPr>
        <w:lastRenderedPageBreak/>
        <w:t xml:space="preserve">The SDRs support efforts to harmonize globally and appreciate the opportunity to review and comment on technical specifications before being implemented.  The SDRs would ask that </w:t>
      </w:r>
      <w:r w:rsidR="00BF29FF">
        <w:rPr>
          <w:rFonts w:ascii="Times New Roman" w:hAnsi="Times New Roman"/>
          <w:color w:val="000000"/>
          <w:szCs w:val="24"/>
        </w:rPr>
        <w:t xml:space="preserve">to the extent possible, the Commission implement fields as harmonized by CPMI-IOSCO without modification.  This approach will yield better data quality and consistency globally and will reduce burdens on the SDRs and market participants in making modifications to their systems.  </w:t>
      </w:r>
    </w:p>
    <w:p w14:paraId="45D576B9" w14:textId="77777777" w:rsidR="00BF29FF" w:rsidRDefault="00BF29FF" w:rsidP="004675F6">
      <w:pPr>
        <w:autoSpaceDE w:val="0"/>
        <w:autoSpaceDN w:val="0"/>
        <w:adjustRightInd w:val="0"/>
        <w:rPr>
          <w:rFonts w:ascii="Times New Roman" w:hAnsi="Times New Roman"/>
          <w:color w:val="000000"/>
          <w:szCs w:val="24"/>
        </w:rPr>
      </w:pPr>
    </w:p>
    <w:p w14:paraId="29387FBC" w14:textId="77777777" w:rsidR="00BF29FF" w:rsidRPr="00525A0A" w:rsidRDefault="004373D7" w:rsidP="00BF29FF">
      <w:pPr>
        <w:rPr>
          <w:rFonts w:ascii="Times New Roman" w:hAnsi="Times New Roman"/>
          <w:b/>
          <w:i/>
          <w:color w:val="000000"/>
          <w:szCs w:val="24"/>
        </w:rPr>
      </w:pPr>
      <w:r w:rsidRPr="00525A0A">
        <w:rPr>
          <w:rFonts w:ascii="Times New Roman" w:hAnsi="Times New Roman"/>
          <w:b/>
          <w:i/>
          <w:color w:val="000000"/>
          <w:szCs w:val="24"/>
        </w:rPr>
        <w:t>Would include definitions, form and manner specifications, mapping to existing data languages (</w:t>
      </w:r>
      <w:proofErr w:type="spellStart"/>
      <w:r w:rsidRPr="00525A0A">
        <w:rPr>
          <w:rFonts w:ascii="Times New Roman" w:hAnsi="Times New Roman"/>
          <w:b/>
          <w:i/>
          <w:color w:val="000000"/>
          <w:szCs w:val="24"/>
        </w:rPr>
        <w:t>FpML</w:t>
      </w:r>
      <w:proofErr w:type="spellEnd"/>
      <w:r w:rsidRPr="00525A0A">
        <w:rPr>
          <w:rFonts w:ascii="Times New Roman" w:hAnsi="Times New Roman"/>
          <w:b/>
          <w:i/>
          <w:color w:val="000000"/>
          <w:szCs w:val="24"/>
        </w:rPr>
        <w:t xml:space="preserve"> and FIX), and al</w:t>
      </w:r>
      <w:r w:rsidR="00BF29FF" w:rsidRPr="00525A0A">
        <w:rPr>
          <w:rFonts w:ascii="Times New Roman" w:hAnsi="Times New Roman"/>
          <w:b/>
          <w:i/>
          <w:color w:val="000000"/>
          <w:szCs w:val="24"/>
        </w:rPr>
        <w:t>lowable values where appropriate</w:t>
      </w:r>
    </w:p>
    <w:p w14:paraId="778911AE" w14:textId="77777777" w:rsidR="00BF29FF" w:rsidRDefault="00BF29FF" w:rsidP="00BF29FF">
      <w:pPr>
        <w:rPr>
          <w:rFonts w:ascii="Times New Roman" w:hAnsi="Times New Roman"/>
          <w:color w:val="000000"/>
          <w:szCs w:val="24"/>
        </w:rPr>
      </w:pPr>
    </w:p>
    <w:p w14:paraId="60783DDD" w14:textId="396377BF" w:rsidR="00BF29FF" w:rsidRDefault="009C0FBF" w:rsidP="00BF29FF">
      <w:pPr>
        <w:rPr>
          <w:rFonts w:ascii="Times New Roman" w:hAnsi="Times New Roman"/>
          <w:color w:val="000000"/>
          <w:szCs w:val="24"/>
        </w:rPr>
      </w:pPr>
      <w:r>
        <w:rPr>
          <w:rFonts w:ascii="Times New Roman" w:hAnsi="Times New Roman"/>
          <w:color w:val="000000"/>
          <w:szCs w:val="24"/>
        </w:rPr>
        <w:t>The SDRs support the inclusion of more explicit definitions in the technical specifications.  However, i</w:t>
      </w:r>
      <w:r w:rsidR="00BF29FF">
        <w:rPr>
          <w:rFonts w:ascii="Times New Roman" w:hAnsi="Times New Roman"/>
          <w:color w:val="000000"/>
          <w:szCs w:val="24"/>
        </w:rPr>
        <w:t>f it is the Commission’</w:t>
      </w:r>
      <w:r>
        <w:rPr>
          <w:rFonts w:ascii="Times New Roman" w:hAnsi="Times New Roman"/>
          <w:color w:val="000000"/>
          <w:szCs w:val="24"/>
        </w:rPr>
        <w:t xml:space="preserve">s intent to mandate </w:t>
      </w:r>
      <w:r w:rsidR="00644DB5">
        <w:rPr>
          <w:rFonts w:ascii="Times New Roman" w:hAnsi="Times New Roman"/>
          <w:color w:val="000000"/>
          <w:szCs w:val="24"/>
        </w:rPr>
        <w:t xml:space="preserve">a </w:t>
      </w:r>
      <w:proofErr w:type="gramStart"/>
      <w:r>
        <w:rPr>
          <w:rFonts w:ascii="Times New Roman" w:hAnsi="Times New Roman"/>
          <w:color w:val="000000"/>
          <w:szCs w:val="24"/>
        </w:rPr>
        <w:t>particular data</w:t>
      </w:r>
      <w:proofErr w:type="gramEnd"/>
      <w:r>
        <w:rPr>
          <w:rFonts w:ascii="Times New Roman" w:hAnsi="Times New Roman"/>
          <w:color w:val="000000"/>
          <w:szCs w:val="24"/>
        </w:rPr>
        <w:t xml:space="preserve"> language</w:t>
      </w:r>
      <w:r w:rsidR="00BF29FF">
        <w:rPr>
          <w:rFonts w:ascii="Times New Roman" w:hAnsi="Times New Roman"/>
          <w:color w:val="000000"/>
          <w:szCs w:val="24"/>
        </w:rPr>
        <w:t xml:space="preserve">, the SDRs oppose any such efforts.  Mandating a specific data language be used by the SDRs </w:t>
      </w:r>
      <w:r w:rsidR="002004A8">
        <w:rPr>
          <w:rFonts w:ascii="Times New Roman" w:hAnsi="Times New Roman"/>
          <w:color w:val="000000"/>
          <w:szCs w:val="24"/>
        </w:rPr>
        <w:t>h</w:t>
      </w:r>
      <w:r>
        <w:rPr>
          <w:rFonts w:ascii="Times New Roman" w:hAnsi="Times New Roman"/>
          <w:color w:val="000000"/>
          <w:szCs w:val="24"/>
        </w:rPr>
        <w:t>as the potent</w:t>
      </w:r>
      <w:r w:rsidR="002004A8">
        <w:rPr>
          <w:rFonts w:ascii="Times New Roman" w:hAnsi="Times New Roman"/>
          <w:color w:val="000000"/>
          <w:szCs w:val="24"/>
        </w:rPr>
        <w:t>ial to require costly changes by</w:t>
      </w:r>
      <w:r>
        <w:rPr>
          <w:rFonts w:ascii="Times New Roman" w:hAnsi="Times New Roman"/>
          <w:color w:val="000000"/>
          <w:szCs w:val="24"/>
        </w:rPr>
        <w:t xml:space="preserve"> SDRs and reporting counterparties with no foreseeable benefit.</w:t>
      </w:r>
    </w:p>
    <w:p w14:paraId="7FEA38A6" w14:textId="77777777" w:rsidR="009C0FBF" w:rsidRPr="00BF29FF" w:rsidRDefault="009C0FBF" w:rsidP="00BF29FF">
      <w:pPr>
        <w:rPr>
          <w:rFonts w:ascii="Times New Roman" w:hAnsi="Times New Roman"/>
          <w:color w:val="000000"/>
          <w:szCs w:val="24"/>
        </w:rPr>
      </w:pPr>
    </w:p>
    <w:p w14:paraId="578C31B0" w14:textId="77777777" w:rsidR="004373D7" w:rsidRPr="00525A0A" w:rsidRDefault="004373D7" w:rsidP="009C0FBF">
      <w:pPr>
        <w:rPr>
          <w:rFonts w:ascii="Times New Roman" w:hAnsi="Times New Roman"/>
          <w:b/>
          <w:i/>
          <w:color w:val="000000"/>
          <w:szCs w:val="24"/>
        </w:rPr>
      </w:pPr>
      <w:r w:rsidRPr="00525A0A">
        <w:rPr>
          <w:rFonts w:ascii="Times New Roman" w:hAnsi="Times New Roman"/>
          <w:b/>
          <w:i/>
          <w:color w:val="000000"/>
          <w:szCs w:val="24"/>
        </w:rPr>
        <w:t>Will seek to match foreign regulators as closely as possible, although some elements may be different depending on Commission’s needs</w:t>
      </w:r>
    </w:p>
    <w:p w14:paraId="385B10AB" w14:textId="77777777" w:rsidR="009C0FBF" w:rsidRDefault="009C0FBF" w:rsidP="009C0FBF">
      <w:pPr>
        <w:rPr>
          <w:rFonts w:ascii="Times New Roman" w:hAnsi="Times New Roman"/>
          <w:color w:val="000000"/>
          <w:szCs w:val="24"/>
        </w:rPr>
      </w:pPr>
    </w:p>
    <w:p w14:paraId="189B40E6" w14:textId="77777777" w:rsidR="009C0FBF" w:rsidRDefault="009C0FBF" w:rsidP="009C0FBF">
      <w:pPr>
        <w:rPr>
          <w:rFonts w:ascii="Times New Roman" w:hAnsi="Times New Roman"/>
          <w:color w:val="000000"/>
          <w:szCs w:val="24"/>
        </w:rPr>
      </w:pPr>
      <w:r>
        <w:rPr>
          <w:rFonts w:ascii="Times New Roman" w:hAnsi="Times New Roman"/>
          <w:color w:val="000000"/>
          <w:szCs w:val="24"/>
        </w:rPr>
        <w:t>The SDRs are supportive of harmonization efforts with foreign regulators and are understanding of the fact that there may have to be some differences.</w:t>
      </w:r>
    </w:p>
    <w:p w14:paraId="171563B1" w14:textId="77777777" w:rsidR="009C0FBF" w:rsidRDefault="009C0FBF" w:rsidP="009C0FBF">
      <w:pPr>
        <w:rPr>
          <w:rFonts w:ascii="Times New Roman" w:hAnsi="Times New Roman"/>
          <w:color w:val="000000"/>
          <w:szCs w:val="24"/>
        </w:rPr>
      </w:pPr>
    </w:p>
    <w:p w14:paraId="2A9E3041" w14:textId="77777777" w:rsidR="004373D7" w:rsidRPr="00525A0A" w:rsidRDefault="004373D7" w:rsidP="009C0FBF">
      <w:pPr>
        <w:rPr>
          <w:rFonts w:ascii="Times New Roman" w:hAnsi="Times New Roman"/>
          <w:b/>
          <w:i/>
          <w:color w:val="000000"/>
          <w:szCs w:val="24"/>
        </w:rPr>
      </w:pPr>
      <w:r w:rsidRPr="00525A0A">
        <w:rPr>
          <w:rFonts w:ascii="Times New Roman" w:hAnsi="Times New Roman"/>
          <w:b/>
          <w:i/>
          <w:color w:val="000000"/>
          <w:szCs w:val="24"/>
        </w:rPr>
        <w:t>Update specifications for SDR validations to cover full suite of required data elements and include remaining allowable values and format validations</w:t>
      </w:r>
    </w:p>
    <w:p w14:paraId="11ADF4E0" w14:textId="77777777" w:rsidR="00926EE1" w:rsidRDefault="00926EE1" w:rsidP="009C0FBF">
      <w:pPr>
        <w:rPr>
          <w:rFonts w:ascii="Times New Roman" w:hAnsi="Times New Roman"/>
          <w:i/>
          <w:color w:val="000000"/>
          <w:szCs w:val="24"/>
        </w:rPr>
      </w:pPr>
    </w:p>
    <w:p w14:paraId="5997DEE2" w14:textId="77777777" w:rsidR="00926EE1" w:rsidRPr="00926EE1" w:rsidRDefault="001E2741" w:rsidP="009C0FBF">
      <w:pPr>
        <w:rPr>
          <w:rFonts w:ascii="Times New Roman" w:hAnsi="Times New Roman"/>
          <w:color w:val="000000"/>
          <w:szCs w:val="24"/>
        </w:rPr>
      </w:pPr>
      <w:r>
        <w:rPr>
          <w:rFonts w:ascii="Times New Roman" w:hAnsi="Times New Roman"/>
          <w:color w:val="000000"/>
          <w:szCs w:val="24"/>
        </w:rPr>
        <w:t>To</w:t>
      </w:r>
      <w:r w:rsidR="00926EE1">
        <w:rPr>
          <w:rFonts w:ascii="Times New Roman" w:hAnsi="Times New Roman"/>
          <w:color w:val="000000"/>
          <w:szCs w:val="24"/>
        </w:rPr>
        <w:t xml:space="preserve"> limit burdens on SDRs and reporting counterparties, the SDRs ask that </w:t>
      </w:r>
      <w:r w:rsidR="00B44D73">
        <w:rPr>
          <w:rFonts w:ascii="Times New Roman" w:hAnsi="Times New Roman"/>
          <w:color w:val="000000"/>
          <w:szCs w:val="24"/>
        </w:rPr>
        <w:t xml:space="preserve">changes to validations be required to be implemented at one time.  This will allow the SDRs to take a holistic view when implementing </w:t>
      </w:r>
      <w:r w:rsidR="001D4E1C">
        <w:rPr>
          <w:rFonts w:ascii="Times New Roman" w:hAnsi="Times New Roman"/>
          <w:color w:val="000000"/>
          <w:szCs w:val="24"/>
        </w:rPr>
        <w:t>the changes.  Because of the interconnectedness of certain fields, requiring subsequent changes could impact the existing validations.  This will also limit the impact on reporting counterparties, requiring them to make significant changes only once.</w:t>
      </w:r>
      <w:r w:rsidR="00B44D73">
        <w:rPr>
          <w:rFonts w:ascii="Times New Roman" w:hAnsi="Times New Roman"/>
          <w:color w:val="000000"/>
          <w:szCs w:val="24"/>
        </w:rPr>
        <w:t xml:space="preserve"> </w:t>
      </w:r>
    </w:p>
    <w:p w14:paraId="324E7612" w14:textId="77777777" w:rsidR="009C0FBF" w:rsidRPr="009C0FBF" w:rsidRDefault="009C0FBF" w:rsidP="009C0FBF">
      <w:pPr>
        <w:rPr>
          <w:rFonts w:ascii="Times New Roman" w:hAnsi="Times New Roman"/>
          <w:color w:val="000000"/>
          <w:szCs w:val="24"/>
        </w:rPr>
      </w:pPr>
    </w:p>
    <w:p w14:paraId="07144E95" w14:textId="77777777" w:rsidR="004373D7" w:rsidRPr="00583E2D" w:rsidRDefault="004373D7" w:rsidP="007C0EAC">
      <w:pPr>
        <w:pStyle w:val="ListParagraph"/>
        <w:numPr>
          <w:ilvl w:val="1"/>
          <w:numId w:val="6"/>
        </w:numPr>
        <w:rPr>
          <w:rFonts w:ascii="Times New Roman" w:hAnsi="Times New Roman"/>
          <w:b/>
          <w:color w:val="000000"/>
          <w:szCs w:val="24"/>
        </w:rPr>
      </w:pPr>
      <w:r w:rsidRPr="00583E2D">
        <w:rPr>
          <w:rFonts w:ascii="Times New Roman" w:hAnsi="Times New Roman"/>
          <w:b/>
          <w:color w:val="000000"/>
          <w:szCs w:val="24"/>
        </w:rPr>
        <w:t>Re-evaluate Reporting Deadlines under Part</w:t>
      </w:r>
      <w:r w:rsidR="00583E2D">
        <w:rPr>
          <w:rFonts w:ascii="Times New Roman" w:hAnsi="Times New Roman"/>
          <w:b/>
          <w:color w:val="000000"/>
          <w:szCs w:val="24"/>
        </w:rPr>
        <w:t xml:space="preserve"> </w:t>
      </w:r>
      <w:r w:rsidRPr="00583E2D">
        <w:rPr>
          <w:rFonts w:ascii="Times New Roman" w:hAnsi="Times New Roman"/>
          <w:b/>
          <w:color w:val="000000"/>
          <w:szCs w:val="24"/>
        </w:rPr>
        <w:t>45</w:t>
      </w:r>
    </w:p>
    <w:p w14:paraId="31176CE4" w14:textId="77777777" w:rsidR="001D4E1C" w:rsidRDefault="001D4E1C" w:rsidP="001D4E1C">
      <w:pPr>
        <w:rPr>
          <w:rFonts w:ascii="Times New Roman" w:hAnsi="Times New Roman"/>
          <w:color w:val="000000"/>
          <w:szCs w:val="24"/>
        </w:rPr>
      </w:pPr>
    </w:p>
    <w:p w14:paraId="6AB93A98" w14:textId="77777777" w:rsidR="004373D7" w:rsidRPr="00525A0A" w:rsidRDefault="004373D7" w:rsidP="001D4E1C">
      <w:pPr>
        <w:rPr>
          <w:rFonts w:ascii="Times New Roman" w:hAnsi="Times New Roman"/>
          <w:b/>
          <w:i/>
          <w:color w:val="000000"/>
          <w:szCs w:val="24"/>
        </w:rPr>
      </w:pPr>
      <w:r w:rsidRPr="00525A0A">
        <w:rPr>
          <w:rFonts w:ascii="Times New Roman" w:hAnsi="Times New Roman"/>
          <w:b/>
          <w:i/>
          <w:color w:val="000000"/>
          <w:szCs w:val="24"/>
        </w:rPr>
        <w:t>Explore alignment of CFTC with the SEC and ESMA, including potential move to T+1 reporting</w:t>
      </w:r>
    </w:p>
    <w:p w14:paraId="5F09DC44" w14:textId="77777777" w:rsidR="001D4E1C" w:rsidRDefault="001D4E1C" w:rsidP="001D4E1C">
      <w:pPr>
        <w:rPr>
          <w:rFonts w:ascii="Times New Roman" w:hAnsi="Times New Roman"/>
          <w:color w:val="000000"/>
          <w:szCs w:val="24"/>
        </w:rPr>
      </w:pPr>
    </w:p>
    <w:p w14:paraId="5BED8837" w14:textId="07F85072" w:rsidR="00107A81" w:rsidRDefault="00EE01A8" w:rsidP="00107A81">
      <w:pPr>
        <w:rPr>
          <w:rFonts w:ascii="Times New Roman" w:hAnsi="Times New Roman"/>
          <w:color w:val="000000"/>
          <w:szCs w:val="24"/>
        </w:rPr>
      </w:pPr>
      <w:r>
        <w:rPr>
          <w:rFonts w:ascii="Times New Roman" w:hAnsi="Times New Roman"/>
          <w:color w:val="000000"/>
          <w:szCs w:val="24"/>
        </w:rPr>
        <w:t>Extending</w:t>
      </w:r>
      <w:r w:rsidR="00FF6465">
        <w:rPr>
          <w:rFonts w:ascii="Times New Roman" w:hAnsi="Times New Roman"/>
          <w:color w:val="000000"/>
          <w:szCs w:val="24"/>
        </w:rPr>
        <w:t xml:space="preserve"> the Part 45 reporting deadline </w:t>
      </w:r>
      <w:r w:rsidR="00681663">
        <w:rPr>
          <w:rFonts w:ascii="Times New Roman" w:hAnsi="Times New Roman"/>
          <w:color w:val="000000"/>
          <w:szCs w:val="24"/>
        </w:rPr>
        <w:t xml:space="preserve">to T+1 </w:t>
      </w:r>
      <w:r w:rsidR="00107A81">
        <w:rPr>
          <w:rFonts w:ascii="Times New Roman" w:hAnsi="Times New Roman"/>
          <w:color w:val="000000"/>
          <w:szCs w:val="24"/>
        </w:rPr>
        <w:t>will mean that most</w:t>
      </w:r>
      <w:r w:rsidR="00681663">
        <w:rPr>
          <w:rFonts w:ascii="Times New Roman" w:hAnsi="Times New Roman"/>
          <w:color w:val="000000"/>
          <w:szCs w:val="24"/>
        </w:rPr>
        <w:t xml:space="preserve"> counterparties</w:t>
      </w:r>
      <w:r w:rsidR="00681663">
        <w:rPr>
          <w:rStyle w:val="FootnoteReference"/>
          <w:rFonts w:ascii="Times New Roman" w:hAnsi="Times New Roman"/>
          <w:color w:val="000000"/>
          <w:szCs w:val="24"/>
        </w:rPr>
        <w:footnoteReference w:id="13"/>
      </w:r>
      <w:r w:rsidR="00681663">
        <w:rPr>
          <w:rFonts w:ascii="Times New Roman" w:hAnsi="Times New Roman"/>
          <w:color w:val="000000"/>
          <w:szCs w:val="24"/>
        </w:rPr>
        <w:t xml:space="preserve"> will have</w:t>
      </w:r>
      <w:r w:rsidR="00694E94">
        <w:rPr>
          <w:rFonts w:ascii="Times New Roman" w:hAnsi="Times New Roman"/>
          <w:color w:val="000000"/>
          <w:szCs w:val="24"/>
        </w:rPr>
        <w:t xml:space="preserve"> </w:t>
      </w:r>
      <w:r>
        <w:rPr>
          <w:rFonts w:ascii="Times New Roman" w:hAnsi="Times New Roman"/>
          <w:color w:val="000000"/>
          <w:szCs w:val="24"/>
        </w:rPr>
        <w:t>confirm</w:t>
      </w:r>
      <w:r w:rsidR="00694E94">
        <w:rPr>
          <w:rFonts w:ascii="Times New Roman" w:hAnsi="Times New Roman"/>
          <w:color w:val="000000"/>
          <w:szCs w:val="24"/>
        </w:rPr>
        <w:t>ed</w:t>
      </w:r>
      <w:r>
        <w:rPr>
          <w:rFonts w:ascii="Times New Roman" w:hAnsi="Times New Roman"/>
          <w:color w:val="000000"/>
          <w:szCs w:val="24"/>
        </w:rPr>
        <w:t xml:space="preserve"> trades before making the Part 45 reports, which </w:t>
      </w:r>
      <w:r w:rsidR="00AE016F">
        <w:rPr>
          <w:rFonts w:ascii="Times New Roman" w:hAnsi="Times New Roman"/>
          <w:color w:val="000000"/>
          <w:szCs w:val="24"/>
        </w:rPr>
        <w:t xml:space="preserve">should </w:t>
      </w:r>
      <w:r>
        <w:rPr>
          <w:rFonts w:ascii="Times New Roman" w:hAnsi="Times New Roman"/>
          <w:color w:val="000000"/>
          <w:szCs w:val="24"/>
        </w:rPr>
        <w:t xml:space="preserve">improve the accuracy of Part </w:t>
      </w:r>
      <w:r>
        <w:rPr>
          <w:rFonts w:ascii="Times New Roman" w:hAnsi="Times New Roman"/>
          <w:color w:val="000000"/>
          <w:szCs w:val="24"/>
        </w:rPr>
        <w:lastRenderedPageBreak/>
        <w:t>45 data.</w:t>
      </w:r>
      <w:r w:rsidR="00107A81">
        <w:rPr>
          <w:rFonts w:ascii="Times New Roman" w:hAnsi="Times New Roman"/>
          <w:color w:val="000000"/>
          <w:szCs w:val="24"/>
        </w:rPr>
        <w:t xml:space="preserve"> </w:t>
      </w:r>
      <w:r w:rsidR="001526CA">
        <w:rPr>
          <w:rFonts w:ascii="Times New Roman" w:hAnsi="Times New Roman"/>
          <w:color w:val="000000"/>
          <w:szCs w:val="24"/>
        </w:rPr>
        <w:t xml:space="preserve"> </w:t>
      </w:r>
      <w:r w:rsidR="00107A81">
        <w:rPr>
          <w:rFonts w:ascii="Times New Roman" w:hAnsi="Times New Roman"/>
          <w:color w:val="000000"/>
          <w:szCs w:val="24"/>
        </w:rPr>
        <w:t>I</w:t>
      </w:r>
      <w:r w:rsidR="00107A81" w:rsidRPr="00107A81">
        <w:rPr>
          <w:rFonts w:ascii="Times New Roman" w:hAnsi="Times New Roman"/>
          <w:color w:val="000000"/>
          <w:szCs w:val="24"/>
        </w:rPr>
        <w:t xml:space="preserve">f the Commission </w:t>
      </w:r>
      <w:r w:rsidR="0057426E">
        <w:rPr>
          <w:rFonts w:ascii="Times New Roman" w:hAnsi="Times New Roman"/>
          <w:color w:val="000000"/>
          <w:szCs w:val="24"/>
        </w:rPr>
        <w:t>also</w:t>
      </w:r>
      <w:r w:rsidR="001526CA">
        <w:rPr>
          <w:rFonts w:ascii="Times New Roman" w:hAnsi="Times New Roman"/>
          <w:color w:val="000000"/>
          <w:szCs w:val="24"/>
        </w:rPr>
        <w:t xml:space="preserve"> </w:t>
      </w:r>
      <w:r w:rsidR="00107A81" w:rsidRPr="00107A81">
        <w:rPr>
          <w:rFonts w:ascii="Times New Roman" w:hAnsi="Times New Roman"/>
          <w:color w:val="000000"/>
          <w:szCs w:val="24"/>
        </w:rPr>
        <w:t>extend</w:t>
      </w:r>
      <w:r w:rsidR="0057426E">
        <w:rPr>
          <w:rFonts w:ascii="Times New Roman" w:hAnsi="Times New Roman"/>
          <w:color w:val="000000"/>
          <w:szCs w:val="24"/>
        </w:rPr>
        <w:t>s</w:t>
      </w:r>
      <w:r w:rsidR="00107A81" w:rsidRPr="00107A81">
        <w:rPr>
          <w:rFonts w:ascii="Times New Roman" w:hAnsi="Times New Roman"/>
          <w:color w:val="000000"/>
          <w:szCs w:val="24"/>
        </w:rPr>
        <w:t xml:space="preserve"> the Part 43 reporting deadline to T+1</w:t>
      </w:r>
      <w:r w:rsidR="0057426E">
        <w:rPr>
          <w:rFonts w:ascii="Times New Roman" w:hAnsi="Times New Roman"/>
          <w:color w:val="000000"/>
          <w:szCs w:val="24"/>
        </w:rPr>
        <w:t>,</w:t>
      </w:r>
      <w:r w:rsidR="001526CA">
        <w:rPr>
          <w:rFonts w:ascii="Times New Roman" w:hAnsi="Times New Roman"/>
          <w:color w:val="000000"/>
          <w:szCs w:val="24"/>
        </w:rPr>
        <w:t xml:space="preserve"> this </w:t>
      </w:r>
      <w:r w:rsidR="00C34382">
        <w:rPr>
          <w:rFonts w:ascii="Times New Roman" w:hAnsi="Times New Roman"/>
          <w:color w:val="000000"/>
          <w:szCs w:val="24"/>
        </w:rPr>
        <w:t>increase in data accuracy would also be seen in the data reported to the public, enhancing transparency</w:t>
      </w:r>
      <w:r w:rsidR="001526CA">
        <w:rPr>
          <w:rFonts w:ascii="Times New Roman" w:hAnsi="Times New Roman"/>
          <w:color w:val="000000"/>
          <w:szCs w:val="24"/>
        </w:rPr>
        <w:t>.</w:t>
      </w:r>
      <w:r w:rsidR="00AE016F">
        <w:rPr>
          <w:rFonts w:ascii="Times New Roman" w:hAnsi="Times New Roman"/>
          <w:color w:val="000000"/>
          <w:szCs w:val="24"/>
        </w:rPr>
        <w:t xml:space="preserve">  </w:t>
      </w:r>
      <w:r w:rsidR="00107A81">
        <w:rPr>
          <w:rFonts w:ascii="Times New Roman" w:hAnsi="Times New Roman"/>
          <w:color w:val="000000"/>
          <w:szCs w:val="24"/>
        </w:rPr>
        <w:t xml:space="preserve">While we acknowledge that the usefulness of the </w:t>
      </w:r>
      <w:r w:rsidR="001526CA">
        <w:rPr>
          <w:rFonts w:ascii="Times New Roman" w:hAnsi="Times New Roman"/>
          <w:color w:val="000000"/>
          <w:szCs w:val="24"/>
        </w:rPr>
        <w:t xml:space="preserve">publicly disseminated </w:t>
      </w:r>
      <w:r w:rsidR="00107A81">
        <w:rPr>
          <w:rFonts w:ascii="Times New Roman" w:hAnsi="Times New Roman"/>
          <w:color w:val="000000"/>
          <w:szCs w:val="24"/>
        </w:rPr>
        <w:t>data in pre-trade price discovery will decrease as the time frame for reporting after execution of the transaction increases, the quality of the data publicly disseminated would improve.  Further, unlike futures</w:t>
      </w:r>
      <w:r w:rsidR="00F43ADB">
        <w:rPr>
          <w:rFonts w:ascii="Times New Roman" w:hAnsi="Times New Roman"/>
          <w:color w:val="000000"/>
          <w:szCs w:val="24"/>
        </w:rPr>
        <w:t xml:space="preserve"> contracts</w:t>
      </w:r>
      <w:r w:rsidR="00107A81">
        <w:rPr>
          <w:rFonts w:ascii="Times New Roman" w:hAnsi="Times New Roman"/>
          <w:color w:val="000000"/>
          <w:szCs w:val="24"/>
        </w:rPr>
        <w:t>, OTC swaps executed off-facility can, in many cases, take a day or more to negotiate and execute.  Thus, a delay in the dissemination of twenty-four hours may not be as impactful to price discovery and transparency as might be anticipated.  Finally, Core Principle 9 for swap execution facilities requires timely publication of trading information on price trading volume and other trading data on swaps, to the extent prescribed by the Commission.  To the degree that a SEF publishes this data in a time frame inside of T+1, market participants would continue to have visibility of those swaps, should the Commission move to a T+1 reporting deadline.</w:t>
      </w:r>
    </w:p>
    <w:p w14:paraId="43BE62F7" w14:textId="0496D584" w:rsidR="00AE016F" w:rsidRDefault="00AE016F" w:rsidP="001D4E1C">
      <w:pPr>
        <w:rPr>
          <w:rFonts w:ascii="Times New Roman" w:hAnsi="Times New Roman"/>
          <w:color w:val="000000"/>
          <w:szCs w:val="24"/>
        </w:rPr>
      </w:pPr>
    </w:p>
    <w:p w14:paraId="07C13C2E" w14:textId="0C2DB4AE" w:rsidR="00E550D5" w:rsidRDefault="00C34382" w:rsidP="001D4E1C">
      <w:pPr>
        <w:rPr>
          <w:rFonts w:ascii="Times New Roman" w:hAnsi="Times New Roman"/>
          <w:color w:val="000000"/>
          <w:szCs w:val="24"/>
        </w:rPr>
      </w:pPr>
      <w:r>
        <w:rPr>
          <w:rFonts w:ascii="Times New Roman" w:hAnsi="Times New Roman"/>
          <w:color w:val="000000"/>
          <w:szCs w:val="24"/>
        </w:rPr>
        <w:t xml:space="preserve">Should </w:t>
      </w:r>
      <w:r w:rsidR="00190496">
        <w:rPr>
          <w:rFonts w:ascii="Times New Roman" w:hAnsi="Times New Roman"/>
          <w:color w:val="000000"/>
          <w:szCs w:val="24"/>
        </w:rPr>
        <w:t>the Commission choose to bifurcate the timing of Part 43 and Part 45 reporting, to real-time and T+1, respectively, it is the belief of the SDRs that reporting counterparties would continue to report in the current timeframe, thereby significantly reducing the likelihood of any material improvement to data accuracy</w:t>
      </w:r>
      <w:r w:rsidR="00E550D5">
        <w:rPr>
          <w:rFonts w:ascii="Times New Roman" w:hAnsi="Times New Roman"/>
          <w:color w:val="000000"/>
          <w:szCs w:val="24"/>
        </w:rPr>
        <w:t xml:space="preserve"> </w:t>
      </w:r>
    </w:p>
    <w:p w14:paraId="58476C67" w14:textId="77777777" w:rsidR="00E550D5" w:rsidRPr="001D4E1C" w:rsidRDefault="00E550D5" w:rsidP="001D4E1C">
      <w:pPr>
        <w:rPr>
          <w:rFonts w:ascii="Times New Roman" w:hAnsi="Times New Roman"/>
          <w:color w:val="000000"/>
          <w:szCs w:val="24"/>
        </w:rPr>
      </w:pPr>
    </w:p>
    <w:p w14:paraId="47167E4A" w14:textId="77777777" w:rsidR="004373D7" w:rsidRPr="00ED741C" w:rsidRDefault="004373D7" w:rsidP="001D4E1C">
      <w:pPr>
        <w:rPr>
          <w:rFonts w:ascii="Times New Roman" w:hAnsi="Times New Roman"/>
          <w:b/>
          <w:i/>
          <w:color w:val="000000"/>
          <w:szCs w:val="24"/>
        </w:rPr>
      </w:pPr>
      <w:r w:rsidRPr="00ED741C">
        <w:rPr>
          <w:rFonts w:ascii="Times New Roman" w:hAnsi="Times New Roman"/>
          <w:b/>
          <w:i/>
          <w:color w:val="000000"/>
          <w:szCs w:val="24"/>
        </w:rPr>
        <w:t>Explore whether changing deadlines will improve data accuracy by building upon existing market practice of trade confirmations</w:t>
      </w:r>
    </w:p>
    <w:p w14:paraId="44F7B2AD" w14:textId="77777777" w:rsidR="001E2741" w:rsidRPr="00ED741C" w:rsidRDefault="001E2741" w:rsidP="001D4E1C">
      <w:pPr>
        <w:rPr>
          <w:rFonts w:ascii="Times New Roman" w:hAnsi="Times New Roman"/>
          <w:b/>
          <w:color w:val="000000"/>
          <w:szCs w:val="24"/>
        </w:rPr>
      </w:pPr>
    </w:p>
    <w:p w14:paraId="4A266A57" w14:textId="166D7DDD" w:rsidR="001E2741" w:rsidRPr="000D4F73" w:rsidRDefault="000D4F73" w:rsidP="001D4E1C">
      <w:pPr>
        <w:rPr>
          <w:rFonts w:ascii="Times New Roman" w:hAnsi="Times New Roman"/>
          <w:color w:val="000000"/>
          <w:szCs w:val="24"/>
        </w:rPr>
      </w:pPr>
      <w:r w:rsidRPr="000D4F73">
        <w:rPr>
          <w:rFonts w:ascii="Times New Roman" w:hAnsi="Times New Roman"/>
          <w:color w:val="000000"/>
          <w:szCs w:val="24"/>
        </w:rPr>
        <w:t>The SDRs have differing opinions as to the value of Confirmation Data and will comment accordingly in individual letters</w:t>
      </w:r>
      <w:r w:rsidR="00FE3045" w:rsidRPr="000D4F73">
        <w:rPr>
          <w:rFonts w:ascii="Times New Roman" w:hAnsi="Times New Roman"/>
          <w:color w:val="000000"/>
          <w:szCs w:val="24"/>
        </w:rPr>
        <w:t>.</w:t>
      </w:r>
      <w:r w:rsidR="001C3ACC" w:rsidRPr="000D4F73">
        <w:rPr>
          <w:rFonts w:ascii="Times New Roman" w:hAnsi="Times New Roman"/>
          <w:color w:val="000000"/>
          <w:szCs w:val="24"/>
        </w:rPr>
        <w:t xml:space="preserve">   </w:t>
      </w:r>
    </w:p>
    <w:p w14:paraId="3ECA5CAE" w14:textId="77777777" w:rsidR="001D4E1C" w:rsidRPr="000D4F73" w:rsidRDefault="001D4E1C" w:rsidP="001D4E1C">
      <w:pPr>
        <w:pStyle w:val="ListParagraph"/>
        <w:ind w:left="2160"/>
        <w:rPr>
          <w:rFonts w:ascii="Times New Roman" w:hAnsi="Times New Roman"/>
          <w:b/>
          <w:color w:val="000000"/>
          <w:szCs w:val="24"/>
        </w:rPr>
      </w:pPr>
    </w:p>
    <w:p w14:paraId="74524737" w14:textId="77777777" w:rsidR="004373D7" w:rsidRPr="000D4F73" w:rsidRDefault="004373D7" w:rsidP="001D4E1C">
      <w:pPr>
        <w:rPr>
          <w:rFonts w:ascii="Times New Roman" w:hAnsi="Times New Roman"/>
          <w:b/>
          <w:i/>
          <w:color w:val="000000"/>
          <w:szCs w:val="24"/>
        </w:rPr>
      </w:pPr>
      <w:r w:rsidRPr="000D4F73">
        <w:rPr>
          <w:rFonts w:ascii="Times New Roman" w:hAnsi="Times New Roman"/>
          <w:b/>
          <w:i/>
          <w:color w:val="000000"/>
          <w:szCs w:val="24"/>
        </w:rPr>
        <w:t>Find ways to leverage existing confirmation processes to aid in reporting, where appropriate</w:t>
      </w:r>
    </w:p>
    <w:p w14:paraId="1382F82D" w14:textId="77777777" w:rsidR="001D4E1C" w:rsidRPr="000D4F73" w:rsidRDefault="001D4E1C" w:rsidP="001D4E1C">
      <w:pPr>
        <w:rPr>
          <w:rFonts w:ascii="Times New Roman" w:hAnsi="Times New Roman"/>
          <w:i/>
          <w:color w:val="000000"/>
          <w:szCs w:val="24"/>
        </w:rPr>
      </w:pPr>
    </w:p>
    <w:p w14:paraId="52415CB0" w14:textId="61B5A988" w:rsidR="000D4F73" w:rsidRDefault="000D4F73" w:rsidP="000D4F73">
      <w:pPr>
        <w:rPr>
          <w:rFonts w:ascii="Times New Roman" w:hAnsi="Times New Roman"/>
          <w:color w:val="000000"/>
          <w:szCs w:val="24"/>
        </w:rPr>
      </w:pPr>
      <w:r w:rsidRPr="000D4F73">
        <w:rPr>
          <w:rFonts w:ascii="Times New Roman" w:hAnsi="Times New Roman"/>
          <w:color w:val="000000"/>
          <w:szCs w:val="24"/>
        </w:rPr>
        <w:lastRenderedPageBreak/>
        <w:t xml:space="preserve">The SDRs have differing opinions as to the value of Confirmation Data and will comment accordingly in individual letters. </w:t>
      </w:r>
      <w:r w:rsidRPr="001C3ACC">
        <w:rPr>
          <w:rFonts w:ascii="Times New Roman" w:hAnsi="Times New Roman"/>
          <w:color w:val="000000"/>
          <w:szCs w:val="24"/>
        </w:rPr>
        <w:t xml:space="preserve">  </w:t>
      </w:r>
    </w:p>
    <w:p w14:paraId="1135BFA5" w14:textId="77777777" w:rsidR="000D4F73" w:rsidRPr="00ED741C" w:rsidRDefault="000D4F73" w:rsidP="000D4F73">
      <w:pPr>
        <w:rPr>
          <w:rFonts w:ascii="Times New Roman" w:hAnsi="Times New Roman"/>
          <w:color w:val="000000"/>
          <w:szCs w:val="24"/>
        </w:rPr>
      </w:pPr>
    </w:p>
    <w:p w14:paraId="621F9098" w14:textId="77777777" w:rsidR="00891664" w:rsidRDefault="004373D7" w:rsidP="00891664">
      <w:pPr>
        <w:pStyle w:val="ListParagraph"/>
        <w:numPr>
          <w:ilvl w:val="1"/>
          <w:numId w:val="6"/>
        </w:numPr>
        <w:rPr>
          <w:rFonts w:ascii="Times New Roman" w:hAnsi="Times New Roman"/>
          <w:b/>
          <w:color w:val="000000"/>
          <w:szCs w:val="24"/>
        </w:rPr>
      </w:pPr>
      <w:r w:rsidRPr="00583E2D">
        <w:rPr>
          <w:rFonts w:ascii="Times New Roman" w:hAnsi="Times New Roman"/>
          <w:b/>
          <w:color w:val="000000"/>
          <w:szCs w:val="24"/>
        </w:rPr>
        <w:t>Increase the Utility of the Real-Time Public Tape</w:t>
      </w:r>
    </w:p>
    <w:p w14:paraId="6FFB037D" w14:textId="77777777" w:rsidR="004E5F9F" w:rsidRPr="00ED741C" w:rsidRDefault="004E5F9F" w:rsidP="00891664">
      <w:pPr>
        <w:rPr>
          <w:rFonts w:ascii="Times New Roman" w:hAnsi="Times New Roman"/>
          <w:i/>
          <w:color w:val="000000"/>
          <w:szCs w:val="24"/>
        </w:rPr>
      </w:pPr>
    </w:p>
    <w:p w14:paraId="0BC1BE4F" w14:textId="77777777" w:rsidR="004373D7" w:rsidRPr="00ED741C" w:rsidRDefault="004373D7" w:rsidP="00891664">
      <w:pPr>
        <w:rPr>
          <w:rFonts w:ascii="Times New Roman" w:hAnsi="Times New Roman"/>
          <w:b/>
          <w:i/>
          <w:color w:val="000000"/>
          <w:szCs w:val="24"/>
        </w:rPr>
      </w:pPr>
      <w:r w:rsidRPr="00ED741C">
        <w:rPr>
          <w:rFonts w:ascii="Times New Roman" w:hAnsi="Times New Roman"/>
          <w:b/>
          <w:i/>
          <w:color w:val="000000"/>
          <w:szCs w:val="24"/>
        </w:rPr>
        <w:t>Evaluate real</w:t>
      </w:r>
      <w:r w:rsidRPr="00ED741C">
        <w:rPr>
          <w:rFonts w:ascii="Cambria Math" w:hAnsi="Cambria Math" w:cs="Cambria Math"/>
          <w:b/>
          <w:i/>
          <w:color w:val="000000"/>
          <w:szCs w:val="24"/>
        </w:rPr>
        <w:t>‐</w:t>
      </w:r>
      <w:r w:rsidRPr="00ED741C">
        <w:rPr>
          <w:rFonts w:ascii="Times New Roman" w:hAnsi="Times New Roman"/>
          <w:b/>
          <w:i/>
          <w:color w:val="000000"/>
          <w:szCs w:val="24"/>
        </w:rPr>
        <w:t xml:space="preserve">time reporting regulations </w:t>
      </w:r>
      <w:proofErr w:type="gramStart"/>
      <w:r w:rsidRPr="00ED741C">
        <w:rPr>
          <w:rFonts w:ascii="Times New Roman" w:hAnsi="Times New Roman"/>
          <w:b/>
          <w:i/>
          <w:color w:val="000000"/>
          <w:szCs w:val="24"/>
        </w:rPr>
        <w:t>in light of</w:t>
      </w:r>
      <w:proofErr w:type="gramEnd"/>
      <w:r w:rsidRPr="00ED741C">
        <w:rPr>
          <w:rFonts w:ascii="Times New Roman" w:hAnsi="Times New Roman"/>
          <w:b/>
          <w:i/>
          <w:color w:val="000000"/>
          <w:szCs w:val="24"/>
        </w:rPr>
        <w:t xml:space="preserve"> goals of liquidity, transparency, and price discovery in the swaps market</w:t>
      </w:r>
    </w:p>
    <w:p w14:paraId="22AEA5C2" w14:textId="77777777" w:rsidR="004E5F9F" w:rsidRPr="00ED741C" w:rsidRDefault="004E5F9F" w:rsidP="00891664">
      <w:pPr>
        <w:rPr>
          <w:rFonts w:ascii="Times New Roman" w:hAnsi="Times New Roman"/>
          <w:color w:val="000000"/>
          <w:szCs w:val="24"/>
        </w:rPr>
      </w:pPr>
    </w:p>
    <w:p w14:paraId="2119BAC7" w14:textId="5EA3A696" w:rsidR="007F10BB" w:rsidRDefault="004E5F9F" w:rsidP="00891664">
      <w:pPr>
        <w:rPr>
          <w:rFonts w:ascii="Times New Roman" w:hAnsi="Times New Roman"/>
          <w:color w:val="000000"/>
          <w:szCs w:val="24"/>
        </w:rPr>
      </w:pPr>
      <w:r w:rsidRPr="00ED741C">
        <w:rPr>
          <w:rFonts w:ascii="Times New Roman" w:hAnsi="Times New Roman"/>
          <w:color w:val="000000"/>
          <w:szCs w:val="24"/>
        </w:rPr>
        <w:t>The SDR</w:t>
      </w:r>
      <w:r w:rsidR="00ED741C" w:rsidRPr="00ED741C">
        <w:rPr>
          <w:rFonts w:ascii="Times New Roman" w:hAnsi="Times New Roman"/>
          <w:color w:val="000000"/>
          <w:szCs w:val="24"/>
        </w:rPr>
        <w:t xml:space="preserve">s recommend that the Commission perform analysis of market participants reporting in certain less liquid or illiquid markets to determine if there are anonymity concerns that are not </w:t>
      </w:r>
      <w:r w:rsidR="001C3ACC">
        <w:rPr>
          <w:rFonts w:ascii="Times New Roman" w:hAnsi="Times New Roman"/>
          <w:color w:val="000000"/>
          <w:szCs w:val="24"/>
        </w:rPr>
        <w:t>addressed under the current regulation</w:t>
      </w:r>
      <w:r w:rsidR="00ED741C" w:rsidRPr="00ED741C">
        <w:rPr>
          <w:rFonts w:ascii="Times New Roman" w:hAnsi="Times New Roman"/>
          <w:color w:val="000000"/>
          <w:szCs w:val="24"/>
        </w:rPr>
        <w:t>.</w:t>
      </w:r>
      <w:r w:rsidR="007F10BB">
        <w:rPr>
          <w:rFonts w:ascii="Times New Roman" w:hAnsi="Times New Roman"/>
          <w:color w:val="000000"/>
          <w:szCs w:val="24"/>
        </w:rPr>
        <w:t xml:space="preserve">  If a high-volume participant wants to change SDRs, this may be difficult if the new SDR’s volumes in an asset class or product are smaller.  </w:t>
      </w:r>
      <w:r w:rsidR="0026453E">
        <w:rPr>
          <w:rFonts w:ascii="Times New Roman" w:hAnsi="Times New Roman"/>
          <w:color w:val="000000"/>
          <w:szCs w:val="24"/>
        </w:rPr>
        <w:t>Moreover</w:t>
      </w:r>
      <w:r w:rsidR="00BA4A6F">
        <w:rPr>
          <w:rFonts w:ascii="Times New Roman" w:hAnsi="Times New Roman"/>
          <w:color w:val="000000"/>
          <w:szCs w:val="24"/>
        </w:rPr>
        <w:t>,</w:t>
      </w:r>
      <w:r w:rsidR="0026453E">
        <w:rPr>
          <w:rFonts w:ascii="Times New Roman" w:hAnsi="Times New Roman"/>
          <w:color w:val="000000"/>
          <w:szCs w:val="24"/>
        </w:rPr>
        <w:t xml:space="preserve"> </w:t>
      </w:r>
      <w:r w:rsidR="00BA4A6F">
        <w:rPr>
          <w:rFonts w:ascii="Times New Roman" w:hAnsi="Times New Roman"/>
          <w:color w:val="000000"/>
          <w:szCs w:val="24"/>
        </w:rPr>
        <w:t>if a</w:t>
      </w:r>
      <w:r w:rsidR="0026453E">
        <w:rPr>
          <w:rFonts w:ascii="Times New Roman" w:hAnsi="Times New Roman"/>
          <w:color w:val="000000"/>
          <w:szCs w:val="24"/>
        </w:rPr>
        <w:t xml:space="preserve"> client ported to a new SDR</w:t>
      </w:r>
      <w:r w:rsidR="00BA4A6F">
        <w:rPr>
          <w:rFonts w:ascii="Times New Roman" w:hAnsi="Times New Roman"/>
          <w:color w:val="000000"/>
          <w:szCs w:val="24"/>
        </w:rPr>
        <w:t>,</w:t>
      </w:r>
      <w:r w:rsidR="0026453E">
        <w:rPr>
          <w:rFonts w:ascii="Times New Roman" w:hAnsi="Times New Roman"/>
          <w:color w:val="000000"/>
          <w:szCs w:val="24"/>
        </w:rPr>
        <w:t xml:space="preserve"> trades in less liquid products</w:t>
      </w:r>
      <w:r w:rsidR="00BA4A6F">
        <w:rPr>
          <w:rFonts w:ascii="Times New Roman" w:hAnsi="Times New Roman"/>
          <w:color w:val="000000"/>
          <w:szCs w:val="24"/>
        </w:rPr>
        <w:t>,</w:t>
      </w:r>
      <w:r w:rsidR="0026453E">
        <w:rPr>
          <w:rFonts w:ascii="Times New Roman" w:hAnsi="Times New Roman"/>
          <w:color w:val="000000"/>
          <w:szCs w:val="24"/>
        </w:rPr>
        <w:t xml:space="preserve"> their activity</w:t>
      </w:r>
      <w:r w:rsidR="007F10BB">
        <w:rPr>
          <w:rFonts w:ascii="Times New Roman" w:hAnsi="Times New Roman"/>
          <w:color w:val="000000"/>
          <w:szCs w:val="24"/>
        </w:rPr>
        <w:t xml:space="preserve"> would</w:t>
      </w:r>
      <w:r w:rsidR="00CB039A">
        <w:rPr>
          <w:rFonts w:ascii="Times New Roman" w:hAnsi="Times New Roman"/>
          <w:color w:val="000000"/>
          <w:szCs w:val="24"/>
        </w:rPr>
        <w:t xml:space="preserve"> likely be</w:t>
      </w:r>
      <w:r w:rsidR="007F10BB">
        <w:rPr>
          <w:rFonts w:ascii="Times New Roman" w:hAnsi="Times New Roman"/>
          <w:color w:val="000000"/>
          <w:szCs w:val="24"/>
        </w:rPr>
        <w:t xml:space="preserve"> </w:t>
      </w:r>
      <w:r w:rsidR="0026453E">
        <w:rPr>
          <w:rFonts w:ascii="Times New Roman" w:hAnsi="Times New Roman"/>
          <w:color w:val="000000"/>
          <w:szCs w:val="24"/>
        </w:rPr>
        <w:t>identifiable</w:t>
      </w:r>
      <w:r w:rsidR="007F10BB">
        <w:rPr>
          <w:rFonts w:ascii="Times New Roman" w:hAnsi="Times New Roman"/>
          <w:color w:val="000000"/>
          <w:szCs w:val="24"/>
        </w:rPr>
        <w:t>.  This is particularly problematic without a unique product identifier system, since the wa</w:t>
      </w:r>
      <w:r w:rsidR="00B71183">
        <w:rPr>
          <w:rFonts w:ascii="Times New Roman" w:hAnsi="Times New Roman"/>
          <w:color w:val="000000"/>
          <w:szCs w:val="24"/>
        </w:rPr>
        <w:t>y counterparties name a product</w:t>
      </w:r>
      <w:r w:rsidR="007F10BB">
        <w:rPr>
          <w:rFonts w:ascii="Times New Roman" w:hAnsi="Times New Roman"/>
          <w:color w:val="000000"/>
          <w:szCs w:val="24"/>
        </w:rPr>
        <w:t xml:space="preserve"> may be unique, and thus </w:t>
      </w:r>
      <w:r w:rsidR="0026453E">
        <w:rPr>
          <w:rFonts w:ascii="Times New Roman" w:hAnsi="Times New Roman"/>
          <w:color w:val="000000"/>
          <w:szCs w:val="24"/>
        </w:rPr>
        <w:t>distinguishable</w:t>
      </w:r>
      <w:r w:rsidR="007F10BB">
        <w:rPr>
          <w:rFonts w:ascii="Times New Roman" w:hAnsi="Times New Roman"/>
          <w:color w:val="000000"/>
          <w:szCs w:val="24"/>
        </w:rPr>
        <w:t xml:space="preserve"> to the public.</w:t>
      </w:r>
    </w:p>
    <w:p w14:paraId="731F19B7" w14:textId="77777777" w:rsidR="00B71183" w:rsidRDefault="00B71183" w:rsidP="00891664">
      <w:pPr>
        <w:rPr>
          <w:rFonts w:ascii="Times New Roman" w:hAnsi="Times New Roman"/>
          <w:color w:val="000000"/>
          <w:szCs w:val="24"/>
        </w:rPr>
      </w:pPr>
    </w:p>
    <w:p w14:paraId="0B2A6EE1" w14:textId="77777777" w:rsidR="00B71183" w:rsidRPr="004E5F9F" w:rsidRDefault="00B71183" w:rsidP="00891664">
      <w:pPr>
        <w:rPr>
          <w:rFonts w:ascii="Times New Roman" w:hAnsi="Times New Roman"/>
          <w:color w:val="000000"/>
          <w:szCs w:val="24"/>
        </w:rPr>
      </w:pPr>
      <w:r w:rsidRPr="00ED741C">
        <w:rPr>
          <w:rFonts w:ascii="Times New Roman" w:hAnsi="Times New Roman"/>
          <w:color w:val="000000"/>
          <w:szCs w:val="24"/>
        </w:rPr>
        <w:t>Additionally, the SDRs suggest that the Commission solicit feedback from market participants, the intended users of the public data to determine its usefulness in its current form, as well as whether they are utilizing it for pre-trade price discovery or post-trade purposes.</w:t>
      </w:r>
    </w:p>
    <w:p w14:paraId="75EC68B4" w14:textId="77777777" w:rsidR="00891664" w:rsidRPr="00891664" w:rsidRDefault="00891664" w:rsidP="00891664">
      <w:pPr>
        <w:rPr>
          <w:rFonts w:ascii="Times New Roman" w:hAnsi="Times New Roman"/>
          <w:b/>
          <w:i/>
          <w:color w:val="000000"/>
          <w:szCs w:val="24"/>
        </w:rPr>
      </w:pPr>
    </w:p>
    <w:p w14:paraId="0979BFB9" w14:textId="77777777" w:rsidR="004373D7" w:rsidRPr="00525A0A" w:rsidRDefault="004373D7" w:rsidP="00891664">
      <w:pPr>
        <w:rPr>
          <w:rFonts w:ascii="Times New Roman" w:hAnsi="Times New Roman"/>
          <w:b/>
          <w:i/>
          <w:color w:val="000000"/>
          <w:szCs w:val="24"/>
        </w:rPr>
      </w:pPr>
      <w:r w:rsidRPr="00525A0A">
        <w:rPr>
          <w:rFonts w:ascii="Times New Roman" w:hAnsi="Times New Roman"/>
          <w:b/>
          <w:i/>
          <w:color w:val="000000"/>
          <w:szCs w:val="24"/>
        </w:rPr>
        <w:t>Address ongoing issues of reporting packages, prime brokerage, allocations, risk mitigation services/compressions, EFRPs, and post</w:t>
      </w:r>
      <w:r w:rsidRPr="00525A0A">
        <w:rPr>
          <w:rFonts w:ascii="Cambria Math" w:hAnsi="Cambria Math" w:cs="Cambria Math"/>
          <w:b/>
          <w:i/>
          <w:color w:val="000000"/>
          <w:szCs w:val="24"/>
        </w:rPr>
        <w:t>‐</w:t>
      </w:r>
      <w:r w:rsidRPr="00525A0A">
        <w:rPr>
          <w:rFonts w:ascii="Times New Roman" w:hAnsi="Times New Roman"/>
          <w:b/>
          <w:i/>
          <w:color w:val="000000"/>
          <w:szCs w:val="24"/>
        </w:rPr>
        <w:t>priced swaps by clarifying obligations and identifying those distinct types of transactions to increase the utility of the real-time public tape</w:t>
      </w:r>
    </w:p>
    <w:p w14:paraId="1EBCD947" w14:textId="77777777" w:rsidR="00891664" w:rsidRDefault="00891664" w:rsidP="00891664">
      <w:pPr>
        <w:rPr>
          <w:rFonts w:ascii="Times New Roman" w:hAnsi="Times New Roman"/>
          <w:i/>
          <w:color w:val="000000"/>
          <w:szCs w:val="24"/>
        </w:rPr>
      </w:pPr>
    </w:p>
    <w:p w14:paraId="79831BF8" w14:textId="106AA8EE" w:rsidR="00AD5A67" w:rsidRDefault="00891664" w:rsidP="00891664">
      <w:pPr>
        <w:rPr>
          <w:rFonts w:ascii="Times New Roman" w:hAnsi="Times New Roman"/>
          <w:szCs w:val="24"/>
        </w:rPr>
      </w:pPr>
      <w:r>
        <w:rPr>
          <w:rFonts w:ascii="Times New Roman" w:hAnsi="Times New Roman"/>
          <w:color w:val="000000"/>
          <w:szCs w:val="24"/>
        </w:rPr>
        <w:t>The SDRs agree that addressing issues related to packages</w:t>
      </w:r>
      <w:r w:rsidR="00FE3045">
        <w:rPr>
          <w:rStyle w:val="FootnoteReference"/>
          <w:rFonts w:ascii="Times New Roman" w:hAnsi="Times New Roman"/>
          <w:color w:val="000000"/>
          <w:szCs w:val="24"/>
        </w:rPr>
        <w:footnoteReference w:id="14"/>
      </w:r>
      <w:r>
        <w:rPr>
          <w:rFonts w:ascii="Times New Roman" w:hAnsi="Times New Roman"/>
          <w:color w:val="000000"/>
          <w:szCs w:val="24"/>
        </w:rPr>
        <w:t xml:space="preserve"> and EFRPs is a worthwhile exercise because a failure to do so could result in misleading pricing data.  </w:t>
      </w:r>
      <w:r w:rsidR="00382A05">
        <w:rPr>
          <w:rFonts w:ascii="Times New Roman" w:hAnsi="Times New Roman"/>
          <w:szCs w:val="24"/>
        </w:rPr>
        <w:t>T</w:t>
      </w:r>
      <w:r w:rsidR="00AD5A67">
        <w:rPr>
          <w:rFonts w:ascii="Times New Roman" w:hAnsi="Times New Roman"/>
          <w:szCs w:val="24"/>
        </w:rPr>
        <w:t>he SDRs recommend that reporting counterparties should be permitted to report in a manner that reflects how the transactions are represented in their booking systems.  Further, the SDRs systems should be architected in such a way as to allow reporting counterparties to report either individual legs as multiple USIs linked together</w:t>
      </w:r>
      <w:r w:rsidR="008D2388">
        <w:rPr>
          <w:rFonts w:ascii="Times New Roman" w:hAnsi="Times New Roman"/>
          <w:szCs w:val="24"/>
        </w:rPr>
        <w:t>,</w:t>
      </w:r>
      <w:r w:rsidR="00AD5A67">
        <w:rPr>
          <w:rFonts w:ascii="Times New Roman" w:hAnsi="Times New Roman"/>
          <w:szCs w:val="24"/>
        </w:rPr>
        <w:t xml:space="preserve"> or as a single USI.</w:t>
      </w:r>
    </w:p>
    <w:p w14:paraId="35D4F4CD" w14:textId="77777777" w:rsidR="00996D8F" w:rsidRDefault="00996D8F" w:rsidP="00891664">
      <w:pPr>
        <w:rPr>
          <w:rFonts w:ascii="Times New Roman" w:hAnsi="Times New Roman"/>
          <w:szCs w:val="24"/>
        </w:rPr>
      </w:pPr>
    </w:p>
    <w:p w14:paraId="45C0321E" w14:textId="77777777" w:rsidR="00996D8F" w:rsidRDefault="00996D8F" w:rsidP="00891664">
      <w:pPr>
        <w:rPr>
          <w:rFonts w:ascii="Times New Roman" w:hAnsi="Times New Roman"/>
          <w:color w:val="000000"/>
          <w:szCs w:val="24"/>
        </w:rPr>
      </w:pPr>
      <w:r>
        <w:rPr>
          <w:rFonts w:ascii="Times New Roman" w:hAnsi="Times New Roman"/>
          <w:szCs w:val="24"/>
        </w:rPr>
        <w:t>The SDRs request the Commission provide guidance as to which life-cycle events should be reported and how they should be reported with</w:t>
      </w:r>
      <w:r w:rsidR="004D5741">
        <w:rPr>
          <w:rFonts w:ascii="Times New Roman" w:hAnsi="Times New Roman"/>
          <w:szCs w:val="24"/>
        </w:rPr>
        <w:t xml:space="preserve"> respect to such transactions.  However, in providing such guidance, the SDRs ask that the Commission ensure that the level of specificity (i.e. the number of different types of events) required, is that which is necessary for the Commission to meet its oversight objectives, and no more.  The more granular the events, the less likely it is to be accurate.  Further, as most reporting counterparties do not currently capture this type of information in their booking systems there will be a cost associated with the modifications.  The cost to reporting counterparties to make such modifications should not </w:t>
      </w:r>
      <w:r w:rsidR="004D5741">
        <w:rPr>
          <w:rFonts w:ascii="Times New Roman" w:hAnsi="Times New Roman"/>
          <w:szCs w:val="24"/>
        </w:rPr>
        <w:lastRenderedPageBreak/>
        <w:t>outweigh the benefit</w:t>
      </w:r>
      <w:r w:rsidR="002C50B3">
        <w:rPr>
          <w:rFonts w:ascii="Times New Roman" w:hAnsi="Times New Roman"/>
          <w:szCs w:val="24"/>
        </w:rPr>
        <w:t>s to</w:t>
      </w:r>
      <w:r w:rsidR="004D5741">
        <w:rPr>
          <w:rFonts w:ascii="Times New Roman" w:hAnsi="Times New Roman"/>
          <w:szCs w:val="24"/>
        </w:rPr>
        <w:t xml:space="preserve"> the Commission.  Finally, given the complexity in solving for the issue of linking all swaps involved in many-to-one or many-to-many events (i.e. compression, netting, etc.) the SDRs would request that the Commission advise how this information will further the Commission’s mission.</w:t>
      </w:r>
    </w:p>
    <w:p w14:paraId="794F73F9" w14:textId="77777777" w:rsidR="004E5F9F" w:rsidRPr="00891664" w:rsidRDefault="004E5F9F" w:rsidP="00891664">
      <w:pPr>
        <w:rPr>
          <w:rFonts w:ascii="Times New Roman" w:hAnsi="Times New Roman"/>
          <w:color w:val="000000"/>
          <w:szCs w:val="24"/>
        </w:rPr>
      </w:pPr>
    </w:p>
    <w:p w14:paraId="782117CE" w14:textId="77777777" w:rsidR="00834739" w:rsidRDefault="00834739" w:rsidP="007C0EAC">
      <w:pPr>
        <w:pStyle w:val="ListParagraph"/>
        <w:numPr>
          <w:ilvl w:val="0"/>
          <w:numId w:val="6"/>
        </w:numPr>
        <w:autoSpaceDE w:val="0"/>
        <w:autoSpaceDN w:val="0"/>
        <w:adjustRightInd w:val="0"/>
        <w:rPr>
          <w:rFonts w:ascii="Times New Roman" w:hAnsi="Times New Roman"/>
          <w:b/>
          <w:color w:val="000000"/>
          <w:szCs w:val="24"/>
        </w:rPr>
      </w:pPr>
      <w:r w:rsidRPr="008D6DF3">
        <w:rPr>
          <w:rFonts w:ascii="Times New Roman" w:hAnsi="Times New Roman"/>
          <w:b/>
          <w:color w:val="000000"/>
          <w:szCs w:val="24"/>
        </w:rPr>
        <w:t>Target Timeframes for Review</w:t>
      </w:r>
    </w:p>
    <w:p w14:paraId="289B3FE2" w14:textId="77777777" w:rsidR="00383F3A" w:rsidRDefault="00383F3A" w:rsidP="00383F3A">
      <w:pPr>
        <w:autoSpaceDE w:val="0"/>
        <w:autoSpaceDN w:val="0"/>
        <w:adjustRightInd w:val="0"/>
        <w:rPr>
          <w:rFonts w:ascii="Times New Roman" w:hAnsi="Times New Roman"/>
          <w:b/>
          <w:color w:val="000000"/>
          <w:szCs w:val="24"/>
        </w:rPr>
      </w:pPr>
    </w:p>
    <w:p w14:paraId="66EE994A" w14:textId="77777777" w:rsidR="00530BBB" w:rsidRDefault="00530BBB" w:rsidP="00530BBB">
      <w:pPr>
        <w:spacing w:after="160" w:line="259" w:lineRule="auto"/>
        <w:rPr>
          <w:rFonts w:ascii="Times New Roman" w:hAnsi="Times New Roman"/>
        </w:rPr>
      </w:pPr>
      <w:r>
        <w:rPr>
          <w:rFonts w:ascii="Times New Roman" w:hAnsi="Times New Roman"/>
        </w:rPr>
        <w:t xml:space="preserve">As already stated, the SDRs would request that the Commission finalize all rule amendments and implementations, including all validations, at one time.  </w:t>
      </w:r>
    </w:p>
    <w:p w14:paraId="6A7BA411" w14:textId="1224D607" w:rsidR="00530BBB" w:rsidRPr="00530BBB" w:rsidRDefault="00530BBB" w:rsidP="00530BBB">
      <w:pPr>
        <w:spacing w:after="160" w:line="259" w:lineRule="auto"/>
        <w:rPr>
          <w:rFonts w:ascii="Times New Roman" w:hAnsi="Times New Roman"/>
          <w:highlight w:val="green"/>
        </w:rPr>
      </w:pPr>
      <w:proofErr w:type="gramStart"/>
      <w:r w:rsidRPr="00530BBB">
        <w:rPr>
          <w:rFonts w:ascii="Times New Roman" w:hAnsi="Times New Roman"/>
        </w:rPr>
        <w:t>In all likelihood</w:t>
      </w:r>
      <w:proofErr w:type="gramEnd"/>
      <w:r w:rsidRPr="00530BBB">
        <w:rPr>
          <w:rFonts w:ascii="Times New Roman" w:hAnsi="Times New Roman"/>
        </w:rPr>
        <w:t>, the implement</w:t>
      </w:r>
      <w:r w:rsidR="00F17771">
        <w:rPr>
          <w:rFonts w:ascii="Times New Roman" w:hAnsi="Times New Roman"/>
        </w:rPr>
        <w:t>ation</w:t>
      </w:r>
      <w:r w:rsidRPr="00530BBB">
        <w:rPr>
          <w:rFonts w:ascii="Times New Roman" w:hAnsi="Times New Roman"/>
        </w:rPr>
        <w:t xml:space="preserve"> of changes will involve dependencies between different entities (i.e., SDR and DCO; DCO and reporting entities) with work needing to be completed sequentially, rather than in parallel.  To ensure sufficient human and financial resources are available</w:t>
      </w:r>
      <w:r w:rsidR="00610B03">
        <w:rPr>
          <w:rFonts w:ascii="Times New Roman" w:hAnsi="Times New Roman"/>
        </w:rPr>
        <w:t>,</w:t>
      </w:r>
      <w:r w:rsidRPr="00530BBB">
        <w:rPr>
          <w:rFonts w:ascii="Times New Roman" w:hAnsi="Times New Roman"/>
        </w:rPr>
        <w:t xml:space="preserve"> the Commission should make every effort to ensure the content, scope and timing are known during the reporting entities budgeting process.  </w:t>
      </w:r>
    </w:p>
    <w:p w14:paraId="24520781" w14:textId="2A33976C" w:rsidR="00530BBB" w:rsidRPr="00530BBB" w:rsidRDefault="00610B03" w:rsidP="00530BBB">
      <w:pPr>
        <w:spacing w:after="160" w:line="259" w:lineRule="auto"/>
        <w:rPr>
          <w:rFonts w:ascii="Times New Roman" w:hAnsi="Times New Roman"/>
          <w:highlight w:val="green"/>
        </w:rPr>
      </w:pPr>
      <w:r>
        <w:rPr>
          <w:rFonts w:ascii="Times New Roman" w:hAnsi="Times New Roman"/>
        </w:rPr>
        <w:t>Furthermore, w</w:t>
      </w:r>
      <w:r w:rsidR="00530BBB" w:rsidRPr="00530BBB">
        <w:rPr>
          <w:rFonts w:ascii="Times New Roman" w:hAnsi="Times New Roman"/>
        </w:rPr>
        <w:t>here possible the Commission should avoid setting compliance dates that fall during the end of the year due to the reduction in staffing levels and year-end freezes.  If this cannot be avoided, we would request the Commission soften the impact</w:t>
      </w:r>
      <w:r w:rsidR="002C50B3">
        <w:rPr>
          <w:rFonts w:ascii="Times New Roman" w:hAnsi="Times New Roman"/>
        </w:rPr>
        <w:t xml:space="preserve"> of the changes</w:t>
      </w:r>
      <w:r w:rsidR="00530BBB" w:rsidRPr="00530BBB">
        <w:rPr>
          <w:rFonts w:ascii="Times New Roman" w:hAnsi="Times New Roman"/>
        </w:rPr>
        <w:t xml:space="preserve"> by lengthening the timefram</w:t>
      </w:r>
      <w:r w:rsidR="008D2388">
        <w:rPr>
          <w:rFonts w:ascii="Times New Roman" w:hAnsi="Times New Roman"/>
        </w:rPr>
        <w:t xml:space="preserve">e in which the marketplace </w:t>
      </w:r>
      <w:r w:rsidR="002C50B3">
        <w:rPr>
          <w:rFonts w:ascii="Times New Roman" w:hAnsi="Times New Roman"/>
        </w:rPr>
        <w:t xml:space="preserve">must </w:t>
      </w:r>
      <w:r w:rsidR="00530BBB" w:rsidRPr="00530BBB">
        <w:rPr>
          <w:rFonts w:ascii="Times New Roman" w:hAnsi="Times New Roman"/>
        </w:rPr>
        <w:t xml:space="preserve">come into compliance.  </w:t>
      </w:r>
    </w:p>
    <w:p w14:paraId="79F6A5D8" w14:textId="0B63E4EC" w:rsidR="00383F3A" w:rsidRDefault="00610B03" w:rsidP="00530BBB">
      <w:pPr>
        <w:autoSpaceDE w:val="0"/>
        <w:autoSpaceDN w:val="0"/>
        <w:adjustRightInd w:val="0"/>
        <w:rPr>
          <w:rFonts w:ascii="Times New Roman" w:hAnsi="Times New Roman"/>
        </w:rPr>
      </w:pPr>
      <w:r>
        <w:rPr>
          <w:rFonts w:ascii="Times New Roman" w:hAnsi="Times New Roman"/>
        </w:rPr>
        <w:t>Lastly, w</w:t>
      </w:r>
      <w:r w:rsidR="00530BBB" w:rsidRPr="00530BBB">
        <w:rPr>
          <w:rFonts w:ascii="Times New Roman" w:hAnsi="Times New Roman"/>
        </w:rPr>
        <w:t>hen setting a compliance date</w:t>
      </w:r>
      <w:r>
        <w:rPr>
          <w:rFonts w:ascii="Times New Roman" w:hAnsi="Times New Roman"/>
        </w:rPr>
        <w:t>,</w:t>
      </w:r>
      <w:r w:rsidR="00530BBB" w:rsidRPr="00530BBB">
        <w:rPr>
          <w:rFonts w:ascii="Times New Roman" w:hAnsi="Times New Roman"/>
        </w:rPr>
        <w:t xml:space="preserve"> </w:t>
      </w:r>
      <w:r>
        <w:rPr>
          <w:rFonts w:ascii="Times New Roman" w:hAnsi="Times New Roman"/>
        </w:rPr>
        <w:t>the SDRs</w:t>
      </w:r>
      <w:r w:rsidR="00530BBB" w:rsidRPr="00530BBB">
        <w:rPr>
          <w:rFonts w:ascii="Times New Roman" w:hAnsi="Times New Roman"/>
        </w:rPr>
        <w:t xml:space="preserve"> request that the Commission consider other regulatory reporting requirements both domestically and internationally.  This will be particularly important in the coming year with the anticipated completion of the CPMI-IOSCO harmonization work.  We are expecting that at least so</w:t>
      </w:r>
      <w:r w:rsidR="00530BBB">
        <w:rPr>
          <w:rFonts w:ascii="Times New Roman" w:hAnsi="Times New Roman"/>
        </w:rPr>
        <w:t>me of the work for many foreign jurisdictions</w:t>
      </w:r>
      <w:r w:rsidR="008D2388">
        <w:rPr>
          <w:rFonts w:ascii="Times New Roman" w:hAnsi="Times New Roman"/>
        </w:rPr>
        <w:t xml:space="preserve"> will fall in</w:t>
      </w:r>
      <w:r w:rsidR="00530BBB" w:rsidRPr="00530BBB">
        <w:rPr>
          <w:rFonts w:ascii="Times New Roman" w:hAnsi="Times New Roman"/>
        </w:rPr>
        <w:t xml:space="preserve"> 2018. </w:t>
      </w:r>
      <w:r w:rsidR="00530BBB">
        <w:rPr>
          <w:rFonts w:ascii="Times New Roman" w:hAnsi="Times New Roman"/>
        </w:rPr>
        <w:t xml:space="preserve"> </w:t>
      </w:r>
      <w:r w:rsidR="00F17771">
        <w:rPr>
          <w:rFonts w:ascii="Times New Roman" w:hAnsi="Times New Roman"/>
        </w:rPr>
        <w:t>The</w:t>
      </w:r>
      <w:r>
        <w:rPr>
          <w:rFonts w:ascii="Times New Roman" w:hAnsi="Times New Roman"/>
        </w:rPr>
        <w:t xml:space="preserve"> </w:t>
      </w:r>
      <w:r w:rsidR="00F17771">
        <w:rPr>
          <w:rFonts w:ascii="Times New Roman" w:hAnsi="Times New Roman"/>
        </w:rPr>
        <w:t>multitude</w:t>
      </w:r>
      <w:r>
        <w:rPr>
          <w:rFonts w:ascii="Times New Roman" w:hAnsi="Times New Roman"/>
        </w:rPr>
        <w:t xml:space="preserve"> of changes</w:t>
      </w:r>
      <w:r w:rsidR="00530BBB" w:rsidRPr="00530BBB">
        <w:rPr>
          <w:rFonts w:ascii="Times New Roman" w:hAnsi="Times New Roman"/>
        </w:rPr>
        <w:t xml:space="preserve"> across multiple jurisdictions will be </w:t>
      </w:r>
      <w:r>
        <w:rPr>
          <w:rFonts w:ascii="Times New Roman" w:hAnsi="Times New Roman"/>
        </w:rPr>
        <w:t>a large</w:t>
      </w:r>
      <w:r w:rsidR="00530BBB" w:rsidRPr="00530BBB">
        <w:rPr>
          <w:rFonts w:ascii="Times New Roman" w:hAnsi="Times New Roman"/>
        </w:rPr>
        <w:t xml:space="preserve"> endeavor.   </w:t>
      </w:r>
    </w:p>
    <w:p w14:paraId="06454256" w14:textId="77777777" w:rsidR="00530BBB" w:rsidRPr="00530BBB" w:rsidRDefault="00530BBB" w:rsidP="00530BBB">
      <w:pPr>
        <w:autoSpaceDE w:val="0"/>
        <w:autoSpaceDN w:val="0"/>
        <w:adjustRightInd w:val="0"/>
        <w:rPr>
          <w:rFonts w:ascii="Times New Roman" w:hAnsi="Times New Roman"/>
          <w:b/>
          <w:szCs w:val="24"/>
        </w:rPr>
      </w:pPr>
    </w:p>
    <w:p w14:paraId="2A0EA241" w14:textId="77777777" w:rsidR="00525A0A" w:rsidRPr="00642F23" w:rsidRDefault="00443976" w:rsidP="00525A0A">
      <w:pPr>
        <w:pStyle w:val="ListParagraph"/>
        <w:numPr>
          <w:ilvl w:val="0"/>
          <w:numId w:val="6"/>
        </w:numPr>
        <w:autoSpaceDE w:val="0"/>
        <w:autoSpaceDN w:val="0"/>
        <w:adjustRightInd w:val="0"/>
        <w:rPr>
          <w:rFonts w:ascii="Times New Roman" w:hAnsi="Times New Roman"/>
          <w:b/>
          <w:color w:val="000000"/>
          <w:szCs w:val="24"/>
        </w:rPr>
      </w:pPr>
      <w:r w:rsidRPr="00642F23">
        <w:rPr>
          <w:rFonts w:ascii="Times New Roman" w:hAnsi="Times New Roman"/>
          <w:b/>
          <w:color w:val="000000"/>
          <w:szCs w:val="24"/>
        </w:rPr>
        <w:t xml:space="preserve">Additional points </w:t>
      </w:r>
      <w:r w:rsidR="00787640" w:rsidRPr="00642F23">
        <w:rPr>
          <w:rFonts w:ascii="Times New Roman" w:hAnsi="Times New Roman"/>
          <w:b/>
          <w:color w:val="000000"/>
          <w:szCs w:val="24"/>
        </w:rPr>
        <w:t>of interest to the SDRs</w:t>
      </w:r>
    </w:p>
    <w:p w14:paraId="0E735642" w14:textId="77777777" w:rsidR="00525A0A" w:rsidRPr="009A6EDA" w:rsidRDefault="00525A0A" w:rsidP="00525A0A">
      <w:pPr>
        <w:autoSpaceDE w:val="0"/>
        <w:autoSpaceDN w:val="0"/>
        <w:adjustRightInd w:val="0"/>
        <w:rPr>
          <w:rFonts w:ascii="Times New Roman" w:hAnsi="Times New Roman"/>
          <w:b/>
          <w:color w:val="000000"/>
          <w:szCs w:val="24"/>
        </w:rPr>
      </w:pPr>
    </w:p>
    <w:p w14:paraId="49F40202" w14:textId="77777777" w:rsidR="00152CFF" w:rsidRPr="00D612B1" w:rsidRDefault="00152CFF" w:rsidP="00C86F16">
      <w:pPr>
        <w:autoSpaceDE w:val="0"/>
        <w:autoSpaceDN w:val="0"/>
        <w:adjustRightInd w:val="0"/>
        <w:rPr>
          <w:rFonts w:ascii="Times New Roman" w:hAnsi="Times New Roman"/>
          <w:b/>
          <w:i/>
          <w:color w:val="000000"/>
          <w:szCs w:val="24"/>
        </w:rPr>
      </w:pPr>
      <w:r w:rsidRPr="00D612B1">
        <w:rPr>
          <w:rFonts w:ascii="Times New Roman" w:hAnsi="Times New Roman"/>
          <w:b/>
          <w:i/>
          <w:color w:val="000000"/>
          <w:szCs w:val="24"/>
        </w:rPr>
        <w:t>SDR Compliance Obligations</w:t>
      </w:r>
    </w:p>
    <w:p w14:paraId="30FDEECE" w14:textId="77777777" w:rsidR="00D612B1" w:rsidRDefault="00D612B1" w:rsidP="00C86F16">
      <w:pPr>
        <w:autoSpaceDE w:val="0"/>
        <w:autoSpaceDN w:val="0"/>
        <w:adjustRightInd w:val="0"/>
        <w:rPr>
          <w:rFonts w:ascii="Times New Roman" w:hAnsi="Times New Roman"/>
          <w:b/>
          <w:color w:val="000000"/>
          <w:szCs w:val="24"/>
          <w:highlight w:val="yellow"/>
        </w:rPr>
      </w:pPr>
    </w:p>
    <w:p w14:paraId="18BF13C7" w14:textId="77777777" w:rsidR="00D612B1" w:rsidRDefault="00BF3D1E" w:rsidP="00D939E3">
      <w:pPr>
        <w:spacing w:line="276" w:lineRule="auto"/>
        <w:rPr>
          <w:rFonts w:ascii="Times New Roman" w:hAnsi="Times New Roman"/>
        </w:rPr>
      </w:pPr>
      <w:r>
        <w:rPr>
          <w:rFonts w:ascii="Times New Roman" w:hAnsi="Times New Roman"/>
        </w:rPr>
        <w:t>The SDRs request that the C</w:t>
      </w:r>
      <w:r w:rsidR="008D2388">
        <w:rPr>
          <w:rFonts w:ascii="Times New Roman" w:hAnsi="Times New Roman"/>
        </w:rPr>
        <w:t>ommission clearly articulate</w:t>
      </w:r>
      <w:r>
        <w:rPr>
          <w:rFonts w:ascii="Times New Roman" w:hAnsi="Times New Roman"/>
        </w:rPr>
        <w:t xml:space="preserve"> SDR compliance obligations to monitor the data and report to the Commission</w:t>
      </w:r>
      <w:r>
        <w:rPr>
          <w:rStyle w:val="FootnoteReference"/>
          <w:rFonts w:ascii="Times New Roman" w:hAnsi="Times New Roman"/>
        </w:rPr>
        <w:footnoteReference w:id="15"/>
      </w:r>
      <w:r>
        <w:rPr>
          <w:rFonts w:ascii="Times New Roman" w:hAnsi="Times New Roman"/>
        </w:rPr>
        <w:t>.  More specifically, the SDRs would like clarity on o</w:t>
      </w:r>
      <w:r w:rsidR="00D612B1" w:rsidRPr="00BF3D1E">
        <w:rPr>
          <w:rFonts w:ascii="Times New Roman" w:hAnsi="Times New Roman"/>
        </w:rPr>
        <w:t>bligations to check the compliance of trades submitted</w:t>
      </w:r>
      <w:r>
        <w:rPr>
          <w:rFonts w:ascii="Times New Roman" w:hAnsi="Times New Roman"/>
        </w:rPr>
        <w:t xml:space="preserve">.  Additionally, to the extent an </w:t>
      </w:r>
      <w:r w:rsidR="00D612B1" w:rsidRPr="00BF3D1E">
        <w:rPr>
          <w:rFonts w:ascii="Times New Roman" w:hAnsi="Times New Roman"/>
        </w:rPr>
        <w:t xml:space="preserve">SDR </w:t>
      </w:r>
      <w:r>
        <w:rPr>
          <w:rFonts w:ascii="Times New Roman" w:hAnsi="Times New Roman"/>
        </w:rPr>
        <w:t>becomes</w:t>
      </w:r>
      <w:r w:rsidR="00D612B1" w:rsidRPr="00BF3D1E">
        <w:rPr>
          <w:rFonts w:ascii="Times New Roman" w:hAnsi="Times New Roman"/>
        </w:rPr>
        <w:t xml:space="preserve"> aware that a p</w:t>
      </w:r>
      <w:r>
        <w:rPr>
          <w:rFonts w:ascii="Times New Roman" w:hAnsi="Times New Roman"/>
        </w:rPr>
        <w:t>articipant is out of compliance</w:t>
      </w:r>
      <w:r w:rsidR="00D939E3">
        <w:rPr>
          <w:rFonts w:ascii="Times New Roman" w:hAnsi="Times New Roman"/>
        </w:rPr>
        <w:t>, the SDRs request clarity as to</w:t>
      </w:r>
      <w:r w:rsidR="00D612B1" w:rsidRPr="00BF3D1E">
        <w:rPr>
          <w:rFonts w:ascii="Times New Roman" w:hAnsi="Times New Roman"/>
        </w:rPr>
        <w:t xml:space="preserve"> obligations </w:t>
      </w:r>
      <w:r w:rsidR="00D939E3">
        <w:rPr>
          <w:rFonts w:ascii="Times New Roman" w:hAnsi="Times New Roman"/>
        </w:rPr>
        <w:t xml:space="preserve">to notify the Commission and notify the reporting and non-reporting counterparties.  If reports are expected detailing </w:t>
      </w:r>
      <w:r w:rsidR="00324513">
        <w:rPr>
          <w:rFonts w:ascii="Times New Roman" w:hAnsi="Times New Roman"/>
        </w:rPr>
        <w:t>client</w:t>
      </w:r>
      <w:r w:rsidR="00D939E3">
        <w:rPr>
          <w:rFonts w:ascii="Times New Roman" w:hAnsi="Times New Roman"/>
        </w:rPr>
        <w:t xml:space="preserve"> compliance, the SDRs request that a clear list of fields to be included in such reports</w:t>
      </w:r>
      <w:r w:rsidR="00324513">
        <w:rPr>
          <w:rFonts w:ascii="Times New Roman" w:hAnsi="Times New Roman"/>
        </w:rPr>
        <w:t>,</w:t>
      </w:r>
      <w:r w:rsidR="00D939E3">
        <w:rPr>
          <w:rFonts w:ascii="Times New Roman" w:hAnsi="Times New Roman"/>
        </w:rPr>
        <w:t xml:space="preserve"> be detailed in the rule.  </w:t>
      </w:r>
    </w:p>
    <w:p w14:paraId="756682F2" w14:textId="77777777" w:rsidR="00D939E3" w:rsidRDefault="00D939E3" w:rsidP="00D939E3">
      <w:pPr>
        <w:spacing w:line="276" w:lineRule="auto"/>
        <w:rPr>
          <w:rFonts w:ascii="Times New Roman" w:hAnsi="Times New Roman"/>
        </w:rPr>
      </w:pPr>
    </w:p>
    <w:p w14:paraId="78BA6CF4" w14:textId="77777777" w:rsidR="002277B7" w:rsidRPr="006225AE" w:rsidRDefault="00324513" w:rsidP="006225AE">
      <w:pPr>
        <w:spacing w:line="276" w:lineRule="auto"/>
        <w:rPr>
          <w:rFonts w:ascii="Times New Roman" w:hAnsi="Times New Roman"/>
        </w:rPr>
      </w:pPr>
      <w:r>
        <w:rPr>
          <w:rFonts w:ascii="Times New Roman" w:hAnsi="Times New Roman"/>
        </w:rPr>
        <w:lastRenderedPageBreak/>
        <w:t>Because the SDRs are not self-regulatory organizations</w:t>
      </w:r>
      <w:r w:rsidR="009B73D5">
        <w:rPr>
          <w:rFonts w:ascii="Times New Roman" w:hAnsi="Times New Roman"/>
        </w:rPr>
        <w:t xml:space="preserve"> (“SRO”)</w:t>
      </w:r>
      <w:r>
        <w:rPr>
          <w:rFonts w:ascii="Times New Roman" w:hAnsi="Times New Roman"/>
        </w:rPr>
        <w:t xml:space="preserve">, </w:t>
      </w:r>
      <w:r w:rsidR="009B73D5">
        <w:rPr>
          <w:rFonts w:ascii="Times New Roman" w:hAnsi="Times New Roman"/>
        </w:rPr>
        <w:t>except for</w:t>
      </w:r>
      <w:r>
        <w:rPr>
          <w:rFonts w:ascii="Times New Roman" w:hAnsi="Times New Roman"/>
        </w:rPr>
        <w:t xml:space="preserve"> terminating or suspending service, the SDRs do not have capability to enforce </w:t>
      </w:r>
      <w:r w:rsidR="008D2388">
        <w:rPr>
          <w:rFonts w:ascii="Times New Roman" w:hAnsi="Times New Roman"/>
        </w:rPr>
        <w:t xml:space="preserve">rules or other SRO-type </w:t>
      </w:r>
      <w:r w:rsidR="009B73D5">
        <w:rPr>
          <w:rFonts w:ascii="Times New Roman" w:hAnsi="Times New Roman"/>
        </w:rPr>
        <w:t>obligations</w:t>
      </w:r>
      <w:r>
        <w:rPr>
          <w:rFonts w:ascii="Times New Roman" w:hAnsi="Times New Roman"/>
        </w:rPr>
        <w:t>.</w:t>
      </w:r>
    </w:p>
    <w:p w14:paraId="22F2D456" w14:textId="77777777" w:rsidR="009A6EDA" w:rsidRDefault="009A6EDA" w:rsidP="009A6EDA">
      <w:pPr>
        <w:autoSpaceDE w:val="0"/>
        <w:autoSpaceDN w:val="0"/>
        <w:adjustRightInd w:val="0"/>
        <w:rPr>
          <w:rFonts w:ascii="Times New Roman" w:hAnsi="Times New Roman"/>
          <w:b/>
          <w:color w:val="000000"/>
          <w:szCs w:val="24"/>
          <w:highlight w:val="yellow"/>
        </w:rPr>
      </w:pPr>
    </w:p>
    <w:p w14:paraId="58C8BF48" w14:textId="77777777" w:rsidR="00BD1CDD" w:rsidRDefault="00BD1CDD" w:rsidP="009A6EDA">
      <w:pPr>
        <w:autoSpaceDE w:val="0"/>
        <w:autoSpaceDN w:val="0"/>
        <w:adjustRightInd w:val="0"/>
        <w:rPr>
          <w:rFonts w:ascii="Times New Roman" w:hAnsi="Times New Roman"/>
          <w:b/>
          <w:i/>
          <w:color w:val="000000"/>
          <w:szCs w:val="24"/>
        </w:rPr>
      </w:pPr>
      <w:r>
        <w:rPr>
          <w:rFonts w:ascii="Times New Roman" w:hAnsi="Times New Roman"/>
          <w:b/>
          <w:i/>
          <w:color w:val="000000"/>
          <w:szCs w:val="24"/>
        </w:rPr>
        <w:t>Part 43 and Part 45 Reporting Should be Harmonized and/or Combined into a Single Rule</w:t>
      </w:r>
    </w:p>
    <w:p w14:paraId="285F1768" w14:textId="77777777" w:rsidR="00BD1CDD" w:rsidRDefault="00BD1CDD" w:rsidP="009A6EDA">
      <w:pPr>
        <w:autoSpaceDE w:val="0"/>
        <w:autoSpaceDN w:val="0"/>
        <w:adjustRightInd w:val="0"/>
        <w:rPr>
          <w:rFonts w:ascii="Times New Roman" w:hAnsi="Times New Roman"/>
          <w:color w:val="000000"/>
          <w:szCs w:val="24"/>
        </w:rPr>
      </w:pPr>
    </w:p>
    <w:p w14:paraId="6311B9FC" w14:textId="77777777" w:rsidR="0023596C" w:rsidRDefault="00BD1CDD" w:rsidP="009A6EDA">
      <w:pPr>
        <w:autoSpaceDE w:val="0"/>
        <w:autoSpaceDN w:val="0"/>
        <w:adjustRightInd w:val="0"/>
        <w:rPr>
          <w:rFonts w:ascii="Times New Roman" w:hAnsi="Times New Roman"/>
          <w:color w:val="000000"/>
          <w:szCs w:val="24"/>
        </w:rPr>
      </w:pPr>
      <w:r>
        <w:rPr>
          <w:rFonts w:ascii="Times New Roman" w:hAnsi="Times New Roman"/>
          <w:color w:val="000000"/>
          <w:szCs w:val="24"/>
        </w:rPr>
        <w:t>To the extent that there are differences in Part 43 and Part 45, they should be harmonized.  The other option is to combine the two parts into a single rule.</w:t>
      </w:r>
      <w:r w:rsidR="00334C03">
        <w:rPr>
          <w:rFonts w:ascii="Times New Roman" w:hAnsi="Times New Roman"/>
          <w:color w:val="000000"/>
          <w:szCs w:val="24"/>
        </w:rPr>
        <w:t xml:space="preserve">  In some cases, t</w:t>
      </w:r>
      <w:r w:rsidR="0023596C">
        <w:rPr>
          <w:rFonts w:ascii="Times New Roman" w:hAnsi="Times New Roman"/>
          <w:color w:val="000000"/>
          <w:szCs w:val="24"/>
        </w:rPr>
        <w:t>he same fields between Part 43 and Part 45 are currently labeled with differing field names and should be harmonized for consistency and to avoid confusion.</w:t>
      </w:r>
    </w:p>
    <w:p w14:paraId="3A18E425" w14:textId="77777777" w:rsidR="00BD1CDD" w:rsidRDefault="00BD1CDD" w:rsidP="009A6EDA">
      <w:pPr>
        <w:autoSpaceDE w:val="0"/>
        <w:autoSpaceDN w:val="0"/>
        <w:adjustRightInd w:val="0"/>
        <w:rPr>
          <w:rFonts w:ascii="Times New Roman" w:hAnsi="Times New Roman"/>
          <w:color w:val="000000"/>
          <w:szCs w:val="24"/>
        </w:rPr>
      </w:pPr>
    </w:p>
    <w:p w14:paraId="67F532FC" w14:textId="77777777" w:rsidR="00334C03" w:rsidRDefault="009A3864" w:rsidP="009A6EDA">
      <w:pPr>
        <w:autoSpaceDE w:val="0"/>
        <w:autoSpaceDN w:val="0"/>
        <w:adjustRightInd w:val="0"/>
        <w:rPr>
          <w:rFonts w:ascii="Times New Roman" w:hAnsi="Times New Roman"/>
          <w:b/>
          <w:i/>
          <w:color w:val="000000"/>
          <w:szCs w:val="24"/>
        </w:rPr>
      </w:pPr>
      <w:r>
        <w:rPr>
          <w:rFonts w:ascii="Times New Roman" w:hAnsi="Times New Roman"/>
          <w:b/>
          <w:i/>
          <w:color w:val="000000"/>
          <w:szCs w:val="24"/>
        </w:rPr>
        <w:t>Part 43 – Appendix B</w:t>
      </w:r>
    </w:p>
    <w:p w14:paraId="44B1DBB1" w14:textId="77777777" w:rsidR="009A3864" w:rsidRDefault="009A3864" w:rsidP="009A6EDA">
      <w:pPr>
        <w:autoSpaceDE w:val="0"/>
        <w:autoSpaceDN w:val="0"/>
        <w:adjustRightInd w:val="0"/>
        <w:rPr>
          <w:rFonts w:ascii="Times New Roman" w:hAnsi="Times New Roman"/>
          <w:color w:val="000000"/>
          <w:szCs w:val="24"/>
        </w:rPr>
      </w:pPr>
    </w:p>
    <w:p w14:paraId="7645EF96" w14:textId="5B2028F2" w:rsidR="009A3864" w:rsidRPr="009A3864" w:rsidRDefault="009A3864" w:rsidP="009A6EDA">
      <w:pPr>
        <w:autoSpaceDE w:val="0"/>
        <w:autoSpaceDN w:val="0"/>
        <w:adjustRightInd w:val="0"/>
        <w:rPr>
          <w:rFonts w:ascii="Times New Roman" w:hAnsi="Times New Roman"/>
          <w:color w:val="000000"/>
          <w:szCs w:val="24"/>
        </w:rPr>
      </w:pPr>
      <w:r>
        <w:rPr>
          <w:rFonts w:ascii="Times New Roman" w:hAnsi="Times New Roman"/>
          <w:color w:val="000000"/>
          <w:szCs w:val="24"/>
        </w:rPr>
        <w:t>For publicly reportable swap transactions that are economically related to a contract listed in Appendix B to Part 43, the relate</w:t>
      </w:r>
      <w:r w:rsidR="008D2388">
        <w:rPr>
          <w:rFonts w:ascii="Times New Roman" w:hAnsi="Times New Roman"/>
          <w:color w:val="000000"/>
          <w:szCs w:val="24"/>
        </w:rPr>
        <w:t>d futures contracts should be included in a</w:t>
      </w:r>
      <w:r w:rsidR="00746DDA">
        <w:rPr>
          <w:rFonts w:ascii="Times New Roman" w:hAnsi="Times New Roman"/>
          <w:color w:val="000000"/>
          <w:szCs w:val="24"/>
        </w:rPr>
        <w:t xml:space="preserve"> </w:t>
      </w:r>
      <w:r>
        <w:rPr>
          <w:rFonts w:ascii="Times New Roman" w:hAnsi="Times New Roman"/>
          <w:color w:val="000000"/>
          <w:szCs w:val="24"/>
        </w:rPr>
        <w:t>clearly de</w:t>
      </w:r>
      <w:r w:rsidR="008D2388">
        <w:rPr>
          <w:rFonts w:ascii="Times New Roman" w:hAnsi="Times New Roman"/>
          <w:color w:val="000000"/>
          <w:szCs w:val="24"/>
        </w:rPr>
        <w:t>fined and public list</w:t>
      </w:r>
      <w:r>
        <w:rPr>
          <w:rFonts w:ascii="Times New Roman" w:hAnsi="Times New Roman"/>
          <w:color w:val="000000"/>
          <w:szCs w:val="24"/>
        </w:rPr>
        <w:t>.  Currently, not all contracts are defined.</w:t>
      </w:r>
      <w:r w:rsidR="00746DDA">
        <w:rPr>
          <w:rFonts w:ascii="Times New Roman" w:hAnsi="Times New Roman"/>
          <w:color w:val="000000"/>
          <w:szCs w:val="24"/>
        </w:rPr>
        <w:t xml:space="preserve">  Alternatively, the Commission </w:t>
      </w:r>
      <w:r w:rsidR="00642F23">
        <w:rPr>
          <w:rFonts w:ascii="Times New Roman" w:hAnsi="Times New Roman"/>
          <w:color w:val="000000"/>
          <w:szCs w:val="24"/>
        </w:rPr>
        <w:t>c</w:t>
      </w:r>
      <w:r w:rsidR="00746DDA">
        <w:rPr>
          <w:rFonts w:ascii="Times New Roman" w:hAnsi="Times New Roman"/>
          <w:color w:val="000000"/>
          <w:szCs w:val="24"/>
        </w:rPr>
        <w:t xml:space="preserve">ould include a field in the list of data elements that reporting </w:t>
      </w:r>
      <w:r w:rsidR="00642F23">
        <w:rPr>
          <w:rFonts w:ascii="Times New Roman" w:hAnsi="Times New Roman"/>
          <w:color w:val="000000"/>
          <w:szCs w:val="24"/>
        </w:rPr>
        <w:t>counter</w:t>
      </w:r>
      <w:r w:rsidR="00746DDA">
        <w:rPr>
          <w:rFonts w:ascii="Times New Roman" w:hAnsi="Times New Roman"/>
          <w:color w:val="000000"/>
          <w:szCs w:val="24"/>
        </w:rPr>
        <w:t xml:space="preserve">parties would provide indicating whether the swap is </w:t>
      </w:r>
      <w:r w:rsidR="00746DDA" w:rsidRPr="00746DDA">
        <w:rPr>
          <w:rFonts w:ascii="Times New Roman" w:hAnsi="Times New Roman"/>
          <w:color w:val="000000"/>
          <w:szCs w:val="24"/>
        </w:rPr>
        <w:t xml:space="preserve">economically related to one of the contracts described in </w:t>
      </w:r>
      <w:r w:rsidR="00642F23">
        <w:rPr>
          <w:rFonts w:ascii="Times New Roman" w:hAnsi="Times New Roman"/>
          <w:color w:val="000000"/>
          <w:szCs w:val="24"/>
        </w:rPr>
        <w:t>A</w:t>
      </w:r>
      <w:r w:rsidR="00746DDA" w:rsidRPr="00746DDA">
        <w:rPr>
          <w:rFonts w:ascii="Times New Roman" w:hAnsi="Times New Roman"/>
          <w:color w:val="000000"/>
          <w:szCs w:val="24"/>
        </w:rPr>
        <w:t>ppendix B</w:t>
      </w:r>
      <w:r w:rsidR="00746DDA">
        <w:rPr>
          <w:rFonts w:ascii="Times New Roman" w:hAnsi="Times New Roman"/>
          <w:color w:val="000000"/>
          <w:szCs w:val="24"/>
        </w:rPr>
        <w:t>.</w:t>
      </w:r>
    </w:p>
    <w:p w14:paraId="740548F9" w14:textId="77777777" w:rsidR="00334C03" w:rsidRDefault="00334C03" w:rsidP="009A6EDA">
      <w:pPr>
        <w:autoSpaceDE w:val="0"/>
        <w:autoSpaceDN w:val="0"/>
        <w:adjustRightInd w:val="0"/>
        <w:rPr>
          <w:rFonts w:ascii="Times New Roman" w:hAnsi="Times New Roman"/>
          <w:b/>
          <w:i/>
          <w:color w:val="000000"/>
          <w:szCs w:val="24"/>
        </w:rPr>
      </w:pPr>
    </w:p>
    <w:p w14:paraId="09CD5F7D" w14:textId="77777777" w:rsidR="00446A46" w:rsidRPr="00446A46" w:rsidRDefault="00446A46" w:rsidP="009A6EDA">
      <w:pPr>
        <w:autoSpaceDE w:val="0"/>
        <w:autoSpaceDN w:val="0"/>
        <w:adjustRightInd w:val="0"/>
        <w:rPr>
          <w:rFonts w:ascii="Times New Roman" w:hAnsi="Times New Roman"/>
          <w:b/>
          <w:i/>
          <w:color w:val="000000"/>
          <w:szCs w:val="24"/>
        </w:rPr>
      </w:pPr>
      <w:r w:rsidRPr="00446A46">
        <w:rPr>
          <w:rFonts w:ascii="Times New Roman" w:hAnsi="Times New Roman"/>
          <w:b/>
          <w:i/>
          <w:color w:val="000000"/>
          <w:szCs w:val="24"/>
        </w:rPr>
        <w:t xml:space="preserve">Valuation </w:t>
      </w:r>
      <w:r w:rsidR="003A0A4F">
        <w:rPr>
          <w:rFonts w:ascii="Times New Roman" w:hAnsi="Times New Roman"/>
          <w:b/>
          <w:i/>
          <w:color w:val="000000"/>
          <w:szCs w:val="24"/>
        </w:rPr>
        <w:t>Data</w:t>
      </w:r>
      <w:r w:rsidRPr="00446A46">
        <w:rPr>
          <w:rFonts w:ascii="Times New Roman" w:hAnsi="Times New Roman"/>
          <w:b/>
          <w:i/>
          <w:color w:val="000000"/>
          <w:szCs w:val="24"/>
        </w:rPr>
        <w:t xml:space="preserve"> </w:t>
      </w:r>
      <w:r w:rsidR="003A0A4F">
        <w:rPr>
          <w:rFonts w:ascii="Times New Roman" w:hAnsi="Times New Roman"/>
          <w:b/>
          <w:i/>
          <w:color w:val="000000"/>
          <w:szCs w:val="24"/>
        </w:rPr>
        <w:t>– End User Reporting Counterparties</w:t>
      </w:r>
    </w:p>
    <w:p w14:paraId="26D4E899" w14:textId="77777777" w:rsidR="00446A46" w:rsidRPr="00446A46" w:rsidRDefault="00446A46" w:rsidP="009A6EDA">
      <w:pPr>
        <w:autoSpaceDE w:val="0"/>
        <w:autoSpaceDN w:val="0"/>
        <w:adjustRightInd w:val="0"/>
        <w:rPr>
          <w:rFonts w:ascii="Times New Roman" w:hAnsi="Times New Roman"/>
          <w:b/>
          <w:color w:val="000000"/>
          <w:szCs w:val="24"/>
        </w:rPr>
      </w:pPr>
    </w:p>
    <w:p w14:paraId="50EBF32C" w14:textId="77777777" w:rsidR="00446A46" w:rsidRDefault="008D2388" w:rsidP="009A6EDA">
      <w:pPr>
        <w:autoSpaceDE w:val="0"/>
        <w:autoSpaceDN w:val="0"/>
        <w:adjustRightInd w:val="0"/>
        <w:rPr>
          <w:rFonts w:ascii="Times New Roman" w:hAnsi="Times New Roman"/>
          <w:color w:val="000000"/>
          <w:szCs w:val="24"/>
        </w:rPr>
      </w:pPr>
      <w:r>
        <w:rPr>
          <w:rFonts w:ascii="Times New Roman" w:hAnsi="Times New Roman"/>
          <w:color w:val="000000"/>
          <w:szCs w:val="24"/>
        </w:rPr>
        <w:t>The c</w:t>
      </w:r>
      <w:r w:rsidR="00B12E96" w:rsidRPr="00446A46">
        <w:rPr>
          <w:rFonts w:ascii="Times New Roman" w:hAnsi="Times New Roman"/>
          <w:color w:val="000000"/>
          <w:szCs w:val="24"/>
        </w:rPr>
        <w:t>urrent rule for valuation reporting for end users does not support the intended purpose of valuation reporting while placing an unnecessary burden on participants</w:t>
      </w:r>
      <w:r w:rsidR="00446A46">
        <w:rPr>
          <w:rFonts w:ascii="Times New Roman" w:hAnsi="Times New Roman"/>
          <w:color w:val="000000"/>
          <w:szCs w:val="24"/>
        </w:rPr>
        <w:t>.  Section 45.4(c)(2)(ii) requires a non-SD, non-MSP to report the current daily mark of the transaction as of the last day of each fiscal quarter within 30 days of the end of the fiscal quarter.  In other words, the Commission provided non-SD, non-MSPs one calendar month to report valuation data and are only required to report this for transactions where they are serving as the reporting counterparty.  The SDRs request that</w:t>
      </w:r>
      <w:r w:rsidR="0048743C">
        <w:rPr>
          <w:rFonts w:ascii="Times New Roman" w:hAnsi="Times New Roman"/>
          <w:color w:val="000000"/>
          <w:szCs w:val="24"/>
        </w:rPr>
        <w:t xml:space="preserve"> the Commission consider</w:t>
      </w:r>
      <w:r w:rsidR="00446A46">
        <w:rPr>
          <w:rFonts w:ascii="Times New Roman" w:hAnsi="Times New Roman"/>
          <w:color w:val="000000"/>
          <w:szCs w:val="24"/>
        </w:rPr>
        <w:t xml:space="preserve"> the value of this information as compared to the cost and burden placed on non-SDs, non-MSPs</w:t>
      </w:r>
      <w:r w:rsidR="0048743C">
        <w:rPr>
          <w:rFonts w:ascii="Times New Roman" w:hAnsi="Times New Roman"/>
          <w:color w:val="000000"/>
          <w:szCs w:val="24"/>
        </w:rPr>
        <w:t>, given that by the time the data is reported it is significantly out of date.  It seems unlikely that this stale valuation data aids the Commission in its</w:t>
      </w:r>
      <w:r w:rsidR="00446A46">
        <w:rPr>
          <w:rFonts w:ascii="Times New Roman" w:hAnsi="Times New Roman"/>
          <w:color w:val="000000"/>
          <w:szCs w:val="24"/>
        </w:rPr>
        <w:t xml:space="preserve"> </w:t>
      </w:r>
      <w:r w:rsidR="0048743C">
        <w:rPr>
          <w:rFonts w:ascii="Times New Roman" w:hAnsi="Times New Roman"/>
          <w:color w:val="000000"/>
          <w:szCs w:val="24"/>
        </w:rPr>
        <w:t>obligation to monitor for systemic risk.</w:t>
      </w:r>
    </w:p>
    <w:p w14:paraId="06DCC4AA" w14:textId="77777777" w:rsidR="0048743C" w:rsidRDefault="0048743C" w:rsidP="009A6EDA">
      <w:pPr>
        <w:autoSpaceDE w:val="0"/>
        <w:autoSpaceDN w:val="0"/>
        <w:adjustRightInd w:val="0"/>
        <w:rPr>
          <w:rFonts w:ascii="Times New Roman" w:hAnsi="Times New Roman"/>
          <w:color w:val="000000"/>
          <w:szCs w:val="24"/>
        </w:rPr>
      </w:pPr>
    </w:p>
    <w:p w14:paraId="5E7173E4" w14:textId="77777777" w:rsidR="003A0A4F" w:rsidRDefault="003A0A4F" w:rsidP="009A6EDA">
      <w:pPr>
        <w:autoSpaceDE w:val="0"/>
        <w:autoSpaceDN w:val="0"/>
        <w:adjustRightInd w:val="0"/>
        <w:rPr>
          <w:rFonts w:ascii="Times New Roman" w:hAnsi="Times New Roman"/>
          <w:b/>
          <w:i/>
          <w:color w:val="000000"/>
          <w:szCs w:val="24"/>
        </w:rPr>
      </w:pPr>
      <w:r>
        <w:rPr>
          <w:rFonts w:ascii="Times New Roman" w:hAnsi="Times New Roman"/>
          <w:b/>
          <w:i/>
          <w:color w:val="000000"/>
          <w:szCs w:val="24"/>
        </w:rPr>
        <w:t>Valuation Data – Other Commodities Asset Class</w:t>
      </w:r>
    </w:p>
    <w:p w14:paraId="4177CC44" w14:textId="77777777" w:rsidR="003A0A4F" w:rsidRPr="003A0A4F" w:rsidRDefault="003A0A4F" w:rsidP="009A6EDA">
      <w:pPr>
        <w:autoSpaceDE w:val="0"/>
        <w:autoSpaceDN w:val="0"/>
        <w:adjustRightInd w:val="0"/>
        <w:rPr>
          <w:rFonts w:ascii="Times New Roman" w:hAnsi="Times New Roman"/>
          <w:b/>
          <w:i/>
          <w:color w:val="000000"/>
          <w:szCs w:val="24"/>
        </w:rPr>
      </w:pPr>
    </w:p>
    <w:p w14:paraId="2BE42FC3" w14:textId="77777777" w:rsidR="0048743C" w:rsidRPr="00446A46" w:rsidRDefault="003A0A4F" w:rsidP="009A6EDA">
      <w:pPr>
        <w:autoSpaceDE w:val="0"/>
        <w:autoSpaceDN w:val="0"/>
        <w:adjustRightInd w:val="0"/>
        <w:rPr>
          <w:rFonts w:ascii="Times New Roman" w:hAnsi="Times New Roman"/>
          <w:color w:val="000000"/>
          <w:szCs w:val="24"/>
        </w:rPr>
      </w:pPr>
      <w:r>
        <w:rPr>
          <w:rFonts w:ascii="Times New Roman" w:hAnsi="Times New Roman"/>
          <w:color w:val="000000"/>
          <w:szCs w:val="24"/>
        </w:rPr>
        <w:t>Valuation data as it relates to th</w:t>
      </w:r>
      <w:r w:rsidR="00FF3172">
        <w:rPr>
          <w:rFonts w:ascii="Times New Roman" w:hAnsi="Times New Roman"/>
          <w:color w:val="000000"/>
          <w:szCs w:val="24"/>
        </w:rPr>
        <w:t>e Other Commodities asset class</w:t>
      </w:r>
      <w:r>
        <w:rPr>
          <w:rFonts w:ascii="Times New Roman" w:hAnsi="Times New Roman"/>
          <w:color w:val="000000"/>
          <w:szCs w:val="24"/>
        </w:rPr>
        <w:t xml:space="preserve"> should be clearly defined by the Commission to reduce the inconsistencies in place today across the SDRs.  More specifically, the Commission should explicitly define how and using what methodologies valuations should be reported for the Other Commodities asset class.</w:t>
      </w:r>
    </w:p>
    <w:p w14:paraId="6C090442" w14:textId="77777777" w:rsidR="009A6EDA" w:rsidRPr="003A0A4F" w:rsidRDefault="009A6EDA" w:rsidP="009A6EDA">
      <w:pPr>
        <w:autoSpaceDE w:val="0"/>
        <w:autoSpaceDN w:val="0"/>
        <w:adjustRightInd w:val="0"/>
        <w:rPr>
          <w:rFonts w:ascii="Times New Roman" w:hAnsi="Times New Roman"/>
          <w:b/>
          <w:color w:val="000000"/>
          <w:szCs w:val="24"/>
        </w:rPr>
      </w:pPr>
    </w:p>
    <w:p w14:paraId="30F54F90" w14:textId="77777777" w:rsidR="00B12E96" w:rsidRPr="003A0A4F" w:rsidRDefault="003A0A4F" w:rsidP="009A6EDA">
      <w:pPr>
        <w:autoSpaceDE w:val="0"/>
        <w:autoSpaceDN w:val="0"/>
        <w:adjustRightInd w:val="0"/>
        <w:rPr>
          <w:rFonts w:ascii="Times New Roman" w:hAnsi="Times New Roman"/>
          <w:b/>
          <w:i/>
          <w:color w:val="000000"/>
          <w:szCs w:val="24"/>
        </w:rPr>
      </w:pPr>
      <w:r w:rsidRPr="003A0A4F">
        <w:rPr>
          <w:rFonts w:ascii="Times New Roman" w:hAnsi="Times New Roman"/>
          <w:b/>
          <w:i/>
          <w:color w:val="000000"/>
          <w:szCs w:val="24"/>
        </w:rPr>
        <w:t>Notional Value – Other Commodities Asset Class</w:t>
      </w:r>
    </w:p>
    <w:p w14:paraId="4DFA1D41" w14:textId="77777777" w:rsidR="003A0A4F" w:rsidRPr="003A0A4F" w:rsidRDefault="003A0A4F" w:rsidP="009A6EDA">
      <w:pPr>
        <w:autoSpaceDE w:val="0"/>
        <w:autoSpaceDN w:val="0"/>
        <w:adjustRightInd w:val="0"/>
        <w:rPr>
          <w:rFonts w:ascii="Times New Roman" w:hAnsi="Times New Roman"/>
          <w:b/>
          <w:i/>
          <w:color w:val="000000"/>
          <w:szCs w:val="24"/>
        </w:rPr>
      </w:pPr>
    </w:p>
    <w:p w14:paraId="0F412D91" w14:textId="77777777" w:rsidR="003A0A4F" w:rsidRDefault="003A0A4F" w:rsidP="009A6EDA">
      <w:pPr>
        <w:autoSpaceDE w:val="0"/>
        <w:autoSpaceDN w:val="0"/>
        <w:adjustRightInd w:val="0"/>
        <w:rPr>
          <w:rFonts w:ascii="Times New Roman" w:hAnsi="Times New Roman"/>
          <w:color w:val="000000"/>
          <w:szCs w:val="24"/>
        </w:rPr>
      </w:pPr>
      <w:r w:rsidRPr="003A0A4F">
        <w:rPr>
          <w:rFonts w:ascii="Times New Roman" w:hAnsi="Times New Roman"/>
          <w:color w:val="000000"/>
          <w:szCs w:val="24"/>
        </w:rPr>
        <w:t xml:space="preserve">Where notional </w:t>
      </w:r>
      <w:r>
        <w:rPr>
          <w:rFonts w:ascii="Times New Roman" w:hAnsi="Times New Roman"/>
          <w:color w:val="000000"/>
          <w:szCs w:val="24"/>
        </w:rPr>
        <w:t xml:space="preserve">is required to be reported for </w:t>
      </w:r>
      <w:proofErr w:type="gramStart"/>
      <w:r>
        <w:rPr>
          <w:rFonts w:ascii="Times New Roman" w:hAnsi="Times New Roman"/>
          <w:color w:val="000000"/>
          <w:szCs w:val="24"/>
        </w:rPr>
        <w:t>an other</w:t>
      </w:r>
      <w:proofErr w:type="gramEnd"/>
      <w:r>
        <w:rPr>
          <w:rFonts w:ascii="Times New Roman" w:hAnsi="Times New Roman"/>
          <w:color w:val="000000"/>
          <w:szCs w:val="24"/>
        </w:rPr>
        <w:t xml:space="preserve"> commodity swap, the Commission should clearly define the notional calculation formula.</w:t>
      </w:r>
    </w:p>
    <w:p w14:paraId="527DDD2E" w14:textId="77777777" w:rsidR="003A0A4F" w:rsidRDefault="003A0A4F" w:rsidP="009A6EDA">
      <w:pPr>
        <w:autoSpaceDE w:val="0"/>
        <w:autoSpaceDN w:val="0"/>
        <w:adjustRightInd w:val="0"/>
        <w:rPr>
          <w:rFonts w:ascii="Times New Roman" w:hAnsi="Times New Roman"/>
          <w:color w:val="000000"/>
          <w:szCs w:val="24"/>
        </w:rPr>
      </w:pPr>
    </w:p>
    <w:p w14:paraId="419B0ED1" w14:textId="77777777" w:rsidR="00B12E96" w:rsidRDefault="009D7AC2" w:rsidP="009A6EDA">
      <w:pPr>
        <w:autoSpaceDE w:val="0"/>
        <w:autoSpaceDN w:val="0"/>
        <w:adjustRightInd w:val="0"/>
        <w:rPr>
          <w:rFonts w:ascii="Times New Roman" w:hAnsi="Times New Roman"/>
          <w:b/>
          <w:i/>
          <w:color w:val="000000"/>
          <w:szCs w:val="24"/>
        </w:rPr>
      </w:pPr>
      <w:r w:rsidRPr="009D7AC2">
        <w:rPr>
          <w:rFonts w:ascii="Times New Roman" w:hAnsi="Times New Roman"/>
          <w:b/>
          <w:i/>
          <w:color w:val="000000"/>
          <w:szCs w:val="24"/>
        </w:rPr>
        <w:lastRenderedPageBreak/>
        <w:t>Capping requirements – Other Commodities Asset Class</w:t>
      </w:r>
    </w:p>
    <w:p w14:paraId="74945159" w14:textId="77777777" w:rsidR="009D7AC2" w:rsidRDefault="009D7AC2" w:rsidP="009A6EDA">
      <w:pPr>
        <w:autoSpaceDE w:val="0"/>
        <w:autoSpaceDN w:val="0"/>
        <w:adjustRightInd w:val="0"/>
        <w:rPr>
          <w:rFonts w:ascii="Times New Roman" w:hAnsi="Times New Roman"/>
          <w:b/>
          <w:color w:val="000000"/>
          <w:szCs w:val="24"/>
        </w:rPr>
      </w:pPr>
    </w:p>
    <w:p w14:paraId="7901B2F9" w14:textId="77777777" w:rsidR="00602133" w:rsidRDefault="009D7AC2" w:rsidP="009A6EDA">
      <w:pPr>
        <w:autoSpaceDE w:val="0"/>
        <w:autoSpaceDN w:val="0"/>
        <w:adjustRightInd w:val="0"/>
        <w:rPr>
          <w:rFonts w:ascii="Times New Roman" w:hAnsi="Times New Roman"/>
        </w:rPr>
      </w:pPr>
      <w:r>
        <w:rPr>
          <w:rFonts w:ascii="Times New Roman" w:hAnsi="Times New Roman"/>
          <w:color w:val="000000"/>
          <w:szCs w:val="24"/>
        </w:rPr>
        <w:t>The SDRs request that the Commission codify the relief requ</w:t>
      </w:r>
      <w:r w:rsidR="00CB2F0F">
        <w:rPr>
          <w:rFonts w:ascii="Times New Roman" w:hAnsi="Times New Roman"/>
          <w:color w:val="000000"/>
          <w:szCs w:val="24"/>
        </w:rPr>
        <w:t>ested by CME, DTCC and ICE on June 28, 2017</w:t>
      </w:r>
      <w:r>
        <w:rPr>
          <w:rFonts w:ascii="Times New Roman" w:hAnsi="Times New Roman"/>
          <w:color w:val="000000"/>
          <w:szCs w:val="24"/>
        </w:rPr>
        <w:t xml:space="preserve"> with resp</w:t>
      </w:r>
      <w:r w:rsidR="00CB2F0F">
        <w:rPr>
          <w:rFonts w:ascii="Times New Roman" w:hAnsi="Times New Roman"/>
          <w:color w:val="000000"/>
          <w:szCs w:val="24"/>
        </w:rPr>
        <w:t xml:space="preserve">ect to the requirements for capping of notional amounts </w:t>
      </w:r>
      <w:r>
        <w:rPr>
          <w:rFonts w:ascii="Times New Roman" w:hAnsi="Times New Roman"/>
          <w:color w:val="000000"/>
          <w:szCs w:val="24"/>
        </w:rPr>
        <w:t xml:space="preserve">for the other commodity asset class pursuant to </w:t>
      </w:r>
      <w:r w:rsidR="00CB2F0F">
        <w:rPr>
          <w:rFonts w:ascii="Times New Roman" w:hAnsi="Times New Roman"/>
        </w:rPr>
        <w:t>§ 43.4(h).  As noted in the request, except for commodity indices, other commodity swaps differ from other asset classes in that there is no concept of notional currency value.  Market convention instead uses notional quantities of units related to the underlying physical commodity for quoting and trading of swaps in the other commodity asset class, rather than notional currency value.  Market convention presents a challenge for SDRs in meeting obligations to cap swaps above levels set forth in § 43.4(h), as notional quantities related to the physical commodity being traded are not necessarily unique (i.e. the measure could be barrels or gallons for the same commodit</w:t>
      </w:r>
      <w:r w:rsidR="000863DF">
        <w:rPr>
          <w:rFonts w:ascii="Times New Roman" w:hAnsi="Times New Roman"/>
        </w:rPr>
        <w:t xml:space="preserve">y).  </w:t>
      </w:r>
    </w:p>
    <w:p w14:paraId="513BED2C" w14:textId="77777777" w:rsidR="00602133" w:rsidRDefault="00602133" w:rsidP="009A6EDA">
      <w:pPr>
        <w:autoSpaceDE w:val="0"/>
        <w:autoSpaceDN w:val="0"/>
        <w:adjustRightInd w:val="0"/>
        <w:rPr>
          <w:rFonts w:ascii="Times New Roman" w:hAnsi="Times New Roman"/>
        </w:rPr>
      </w:pPr>
    </w:p>
    <w:p w14:paraId="03068E6D" w14:textId="77777777" w:rsidR="00B12E96" w:rsidRDefault="00E9032A" w:rsidP="009A6EDA">
      <w:pPr>
        <w:autoSpaceDE w:val="0"/>
        <w:autoSpaceDN w:val="0"/>
        <w:adjustRightInd w:val="0"/>
        <w:rPr>
          <w:rFonts w:ascii="Times New Roman" w:hAnsi="Times New Roman"/>
        </w:rPr>
      </w:pPr>
      <w:r>
        <w:rPr>
          <w:rFonts w:ascii="Times New Roman" w:hAnsi="Times New Roman"/>
        </w:rPr>
        <w:t>The SDRs recommend</w:t>
      </w:r>
      <w:r w:rsidR="00602133">
        <w:rPr>
          <w:rFonts w:ascii="Times New Roman" w:hAnsi="Times New Roman"/>
        </w:rPr>
        <w:t xml:space="preserve"> the exclusive use </w:t>
      </w:r>
      <w:r w:rsidR="000863DF">
        <w:rPr>
          <w:rFonts w:ascii="Times New Roman" w:hAnsi="Times New Roman"/>
        </w:rPr>
        <w:t xml:space="preserve">of the notional currency value, such that the notional currency value can be compared to the value of USD 25 million as set forth in§ 43.4(h)(1)(v).  To the extent that the notional value of </w:t>
      </w:r>
      <w:proofErr w:type="gramStart"/>
      <w:r w:rsidR="000863DF">
        <w:rPr>
          <w:rFonts w:ascii="Times New Roman" w:hAnsi="Times New Roman"/>
        </w:rPr>
        <w:t>an other</w:t>
      </w:r>
      <w:proofErr w:type="gramEnd"/>
      <w:r w:rsidR="000863DF">
        <w:rPr>
          <w:rFonts w:ascii="Times New Roman" w:hAnsi="Times New Roman"/>
        </w:rPr>
        <w:t xml:space="preserve"> commodity swap is greater than USD 25 </w:t>
      </w:r>
      <w:r w:rsidR="00602133">
        <w:rPr>
          <w:rFonts w:ascii="Times New Roman" w:hAnsi="Times New Roman"/>
        </w:rPr>
        <w:t>million, a scaling factor will be disseminated to the public, subject to any rounding required by § 43.4(g).  The notional currency value should only be used for comparison and calculation purposes and should not be publicly disseminated.  If the notional value is less than the required USD 25 million, then the swap quantity will be disseminated as it is reported to the SDR.</w:t>
      </w:r>
    </w:p>
    <w:p w14:paraId="2D928C1E" w14:textId="77777777" w:rsidR="00602133" w:rsidRDefault="00602133" w:rsidP="009A6EDA">
      <w:pPr>
        <w:autoSpaceDE w:val="0"/>
        <w:autoSpaceDN w:val="0"/>
        <w:adjustRightInd w:val="0"/>
        <w:rPr>
          <w:rFonts w:ascii="Times New Roman" w:hAnsi="Times New Roman"/>
        </w:rPr>
      </w:pPr>
    </w:p>
    <w:p w14:paraId="6A162E4B" w14:textId="77777777" w:rsidR="00602133" w:rsidRPr="009D7AC2" w:rsidRDefault="00E9032A" w:rsidP="009A6EDA">
      <w:pPr>
        <w:autoSpaceDE w:val="0"/>
        <w:autoSpaceDN w:val="0"/>
        <w:adjustRightInd w:val="0"/>
        <w:rPr>
          <w:rFonts w:ascii="Times New Roman" w:hAnsi="Times New Roman"/>
          <w:b/>
          <w:szCs w:val="24"/>
          <w:highlight w:val="yellow"/>
        </w:rPr>
      </w:pPr>
      <w:r>
        <w:rPr>
          <w:rFonts w:ascii="Times New Roman" w:hAnsi="Times New Roman"/>
        </w:rPr>
        <w:t>Because notional currency value is not required to be reported on other commodity swap transactions, the value must be calculated, if possible.  The SDRs should be able to elect to have the reporting counterparty submit the calculated notional currency value.  Or, SDRs may calculate the notional currency value when notional currency value is not provided.  The standard for calculating notional currency value by an SDR would be Price * Total Quantity.  To the extent that price is not available at the time the swap is reported to an SDR, the SDRs should not be obligated to cap for any other commodity swaps that do not have a price at the time they are required to be publicly disseminated and/or for those swaps for which a notional currency value was not provided or cannot be calculated.</w:t>
      </w:r>
    </w:p>
    <w:p w14:paraId="6FFAEA74" w14:textId="77777777" w:rsidR="009A6EDA" w:rsidRDefault="009A6EDA" w:rsidP="009A6EDA">
      <w:pPr>
        <w:autoSpaceDE w:val="0"/>
        <w:autoSpaceDN w:val="0"/>
        <w:adjustRightInd w:val="0"/>
        <w:rPr>
          <w:rFonts w:ascii="Calibri" w:hAnsi="Calibri"/>
          <w:color w:val="538135" w:themeColor="accent6" w:themeShade="BF"/>
        </w:rPr>
      </w:pPr>
    </w:p>
    <w:p w14:paraId="080163F9" w14:textId="77777777" w:rsidR="00EE587D" w:rsidRDefault="00EE587D" w:rsidP="009A6EDA">
      <w:pPr>
        <w:autoSpaceDE w:val="0"/>
        <w:autoSpaceDN w:val="0"/>
        <w:adjustRightInd w:val="0"/>
        <w:rPr>
          <w:rFonts w:ascii="Times New Roman" w:hAnsi="Times New Roman"/>
          <w:b/>
          <w:i/>
        </w:rPr>
      </w:pPr>
      <w:r w:rsidRPr="00EE587D">
        <w:rPr>
          <w:rFonts w:ascii="Times New Roman" w:hAnsi="Times New Roman"/>
          <w:b/>
          <w:i/>
        </w:rPr>
        <w:t xml:space="preserve">System Malfunctions - </w:t>
      </w:r>
      <w:r w:rsidR="00E91322">
        <w:rPr>
          <w:rFonts w:ascii="Times New Roman" w:hAnsi="Times New Roman"/>
          <w:b/>
          <w:i/>
        </w:rPr>
        <w:t>Materiality Threshold</w:t>
      </w:r>
    </w:p>
    <w:p w14:paraId="3864F670" w14:textId="77777777" w:rsidR="00EE587D" w:rsidRPr="00EE587D" w:rsidRDefault="00EE587D" w:rsidP="009A6EDA">
      <w:pPr>
        <w:autoSpaceDE w:val="0"/>
        <w:autoSpaceDN w:val="0"/>
        <w:adjustRightInd w:val="0"/>
        <w:rPr>
          <w:rFonts w:ascii="Times New Roman" w:hAnsi="Times New Roman"/>
          <w:b/>
          <w:i/>
        </w:rPr>
      </w:pPr>
    </w:p>
    <w:p w14:paraId="144EFC42" w14:textId="1944558D" w:rsidR="00615140" w:rsidRDefault="00E91322" w:rsidP="000D4F73">
      <w:pPr>
        <w:autoSpaceDE w:val="0"/>
        <w:autoSpaceDN w:val="0"/>
        <w:adjustRightInd w:val="0"/>
        <w:rPr>
          <w:rFonts w:ascii="Times New Roman" w:hAnsi="Times New Roman"/>
        </w:rPr>
      </w:pPr>
      <w:r>
        <w:rPr>
          <w:rFonts w:ascii="Times New Roman" w:hAnsi="Times New Roman"/>
        </w:rPr>
        <w:t xml:space="preserve">The SDRs request that a “materiality” threshold be added </w:t>
      </w:r>
      <w:r w:rsidR="00615140" w:rsidRPr="00EE587D">
        <w:rPr>
          <w:rFonts w:ascii="Times New Roman" w:hAnsi="Times New Roman"/>
        </w:rPr>
        <w:t xml:space="preserve">to the notification requirements of § 49.24(g) </w:t>
      </w:r>
      <w:proofErr w:type="gramStart"/>
      <w:r w:rsidR="00615140" w:rsidRPr="00EE587D">
        <w:rPr>
          <w:rFonts w:ascii="Times New Roman" w:hAnsi="Times New Roman"/>
        </w:rPr>
        <w:t>in connection with</w:t>
      </w:r>
      <w:proofErr w:type="gramEnd"/>
      <w:r w:rsidR="00615140" w:rsidRPr="00EE587D">
        <w:rPr>
          <w:rFonts w:ascii="Times New Roman" w:hAnsi="Times New Roman"/>
        </w:rPr>
        <w:t xml:space="preserve"> system malfunctions</w:t>
      </w:r>
      <w:r>
        <w:rPr>
          <w:rFonts w:ascii="Times New Roman" w:hAnsi="Times New Roman"/>
        </w:rPr>
        <w:t>,</w:t>
      </w:r>
      <w:r w:rsidR="00615140" w:rsidRPr="00EE587D">
        <w:rPr>
          <w:rFonts w:ascii="Times New Roman" w:hAnsi="Times New Roman"/>
        </w:rPr>
        <w:t xml:space="preserve"> to harmonize with the same requirements for o</w:t>
      </w:r>
      <w:r>
        <w:rPr>
          <w:rFonts w:ascii="Times New Roman" w:hAnsi="Times New Roman"/>
        </w:rPr>
        <w:t xml:space="preserve">ther </w:t>
      </w:r>
      <w:r w:rsidR="00FF3172">
        <w:rPr>
          <w:rFonts w:ascii="Times New Roman" w:hAnsi="Times New Roman"/>
        </w:rPr>
        <w:t xml:space="preserve">CFTC </w:t>
      </w:r>
      <w:r>
        <w:rPr>
          <w:rFonts w:ascii="Times New Roman" w:hAnsi="Times New Roman"/>
        </w:rPr>
        <w:t>r</w:t>
      </w:r>
      <w:r w:rsidR="00FF3172">
        <w:rPr>
          <w:rFonts w:ascii="Times New Roman" w:hAnsi="Times New Roman"/>
        </w:rPr>
        <w:t>egistrants</w:t>
      </w:r>
      <w:r>
        <w:rPr>
          <w:rStyle w:val="FootnoteReference"/>
          <w:rFonts w:ascii="Times New Roman" w:hAnsi="Times New Roman"/>
        </w:rPr>
        <w:footnoteReference w:id="16"/>
      </w:r>
      <w:r>
        <w:rPr>
          <w:rFonts w:ascii="Times New Roman" w:hAnsi="Times New Roman"/>
        </w:rPr>
        <w:t>.  A swap data repository is the only registration category</w:t>
      </w:r>
      <w:r w:rsidR="00615140" w:rsidRPr="00EE587D">
        <w:rPr>
          <w:rFonts w:ascii="Times New Roman" w:hAnsi="Times New Roman"/>
        </w:rPr>
        <w:t xml:space="preserve"> subject</w:t>
      </w:r>
      <w:r>
        <w:rPr>
          <w:rFonts w:ascii="Times New Roman" w:hAnsi="Times New Roman"/>
        </w:rPr>
        <w:t xml:space="preserve"> to </w:t>
      </w:r>
      <w:r>
        <w:rPr>
          <w:rFonts w:ascii="Times New Roman" w:hAnsi="Times New Roman"/>
        </w:rPr>
        <w:lastRenderedPageBreak/>
        <w:t>System Safeguards which does</w:t>
      </w:r>
      <w:r w:rsidR="00615140" w:rsidRPr="00EE587D">
        <w:rPr>
          <w:rFonts w:ascii="Times New Roman" w:hAnsi="Times New Roman"/>
        </w:rPr>
        <w:t xml:space="preserve"> n</w:t>
      </w:r>
      <w:r>
        <w:rPr>
          <w:rFonts w:ascii="Times New Roman" w:hAnsi="Times New Roman"/>
        </w:rPr>
        <w:t xml:space="preserve">ot have a materiality threshold – </w:t>
      </w:r>
      <w:r w:rsidR="00615140" w:rsidRPr="00EE587D">
        <w:rPr>
          <w:rFonts w:ascii="Times New Roman" w:hAnsi="Times New Roman"/>
        </w:rPr>
        <w:t xml:space="preserve"> it must report all system malfunctions.</w:t>
      </w:r>
      <w:r w:rsidR="00513468">
        <w:rPr>
          <w:rFonts w:ascii="Times New Roman" w:hAnsi="Times New Roman"/>
        </w:rPr>
        <w:t xml:space="preserve">  </w:t>
      </w:r>
    </w:p>
    <w:p w14:paraId="6D92C14F" w14:textId="77777777" w:rsidR="000D4F73" w:rsidRDefault="000D4F73" w:rsidP="000D4F73">
      <w:pPr>
        <w:autoSpaceDE w:val="0"/>
        <w:autoSpaceDN w:val="0"/>
        <w:adjustRightInd w:val="0"/>
        <w:rPr>
          <w:rFonts w:ascii="Times New Roman" w:hAnsi="Times New Roman"/>
        </w:rPr>
      </w:pPr>
    </w:p>
    <w:p w14:paraId="3936858D" w14:textId="181E6DF8" w:rsidR="00D77681" w:rsidRDefault="00D77681" w:rsidP="000D4F73">
      <w:pPr>
        <w:jc w:val="both"/>
        <w:rPr>
          <w:rFonts w:ascii="Times New Roman" w:hAnsi="Times New Roman"/>
          <w:b/>
          <w:bCs/>
          <w:i/>
          <w:iCs/>
        </w:rPr>
      </w:pPr>
      <w:r w:rsidRPr="00E6253D">
        <w:rPr>
          <w:rFonts w:ascii="Times New Roman" w:hAnsi="Times New Roman"/>
          <w:b/>
          <w:bCs/>
          <w:i/>
          <w:iCs/>
        </w:rPr>
        <w:t xml:space="preserve">Counterparties should be able to determine the reporting party in certain circumstances  </w:t>
      </w:r>
    </w:p>
    <w:p w14:paraId="1D9FC2FF" w14:textId="77777777" w:rsidR="000D4F73" w:rsidRPr="00E6253D" w:rsidRDefault="000D4F73" w:rsidP="000D4F73">
      <w:pPr>
        <w:jc w:val="both"/>
        <w:rPr>
          <w:rFonts w:ascii="Times New Roman" w:eastAsiaTheme="minorHAnsi" w:hAnsi="Times New Roman"/>
          <w:sz w:val="22"/>
        </w:rPr>
      </w:pPr>
    </w:p>
    <w:p w14:paraId="524050B1" w14:textId="26040DA9" w:rsidR="00D77681" w:rsidRDefault="00D77681" w:rsidP="000D4F73">
      <w:pPr>
        <w:jc w:val="both"/>
        <w:rPr>
          <w:rFonts w:ascii="Times New Roman" w:hAnsi="Times New Roman"/>
        </w:rPr>
      </w:pPr>
      <w:r w:rsidRPr="00E6253D">
        <w:rPr>
          <w:rFonts w:ascii="Times New Roman" w:hAnsi="Times New Roman"/>
        </w:rPr>
        <w:t>Under CFTC R</w:t>
      </w:r>
      <w:r>
        <w:rPr>
          <w:rFonts w:ascii="Times New Roman" w:hAnsi="Times New Roman"/>
        </w:rPr>
        <w:t>egulation</w:t>
      </w:r>
      <w:r w:rsidRPr="00E6253D">
        <w:rPr>
          <w:rFonts w:ascii="Times New Roman" w:hAnsi="Times New Roman"/>
        </w:rPr>
        <w:t xml:space="preserve"> §</w:t>
      </w:r>
      <w:r>
        <w:rPr>
          <w:rFonts w:ascii="Times New Roman" w:hAnsi="Times New Roman"/>
        </w:rPr>
        <w:t xml:space="preserve"> </w:t>
      </w:r>
      <w:r w:rsidRPr="00E6253D">
        <w:rPr>
          <w:rFonts w:ascii="Times New Roman" w:hAnsi="Times New Roman"/>
        </w:rPr>
        <w:t>45.8(c), if both counterparties are non-SD/MSPs and only one counterparty is a financial entity, that entity should be designated as the reporting counterparty. Furthermore, §</w:t>
      </w:r>
      <w:r>
        <w:rPr>
          <w:rFonts w:ascii="Times New Roman" w:hAnsi="Times New Roman"/>
        </w:rPr>
        <w:t xml:space="preserve"> </w:t>
      </w:r>
      <w:r w:rsidRPr="00E6253D">
        <w:rPr>
          <w:rFonts w:ascii="Times New Roman" w:hAnsi="Times New Roman"/>
        </w:rPr>
        <w:t xml:space="preserve">45.8(e) states that if both counterparties to a swap are non-SD/MSPs and only one counterparty is a U.S. Person, that counterparty should be designated as the reporting counterparty.  When applying these hierarchy principles, a foreign financial entity supersedes a U.S. entity. It is the SDRs view that U.S. entities can better discharge the creation and continuation data reporting obligations than foreign financial entities.  When both parties are non-SD/MSPs regardless of the financial entity or U.S. Person designation, these parties should be afforded the opportunity to select the reporting party. </w:t>
      </w:r>
    </w:p>
    <w:p w14:paraId="048CE171" w14:textId="77777777" w:rsidR="000D4F73" w:rsidRDefault="000D4F73" w:rsidP="000D4F73">
      <w:pPr>
        <w:jc w:val="both"/>
        <w:rPr>
          <w:rFonts w:ascii="Times New Roman" w:hAnsi="Times New Roman"/>
        </w:rPr>
      </w:pPr>
    </w:p>
    <w:p w14:paraId="1FBB90AB" w14:textId="2C80EADA" w:rsidR="00D77681" w:rsidRDefault="00D77681" w:rsidP="000D4F73">
      <w:pPr>
        <w:jc w:val="both"/>
        <w:rPr>
          <w:rFonts w:ascii="Times New Roman" w:hAnsi="Times New Roman"/>
          <w:b/>
          <w:bCs/>
          <w:i/>
          <w:iCs/>
        </w:rPr>
      </w:pPr>
      <w:r w:rsidRPr="00E6253D">
        <w:rPr>
          <w:rFonts w:ascii="Times New Roman" w:hAnsi="Times New Roman"/>
          <w:b/>
          <w:bCs/>
          <w:i/>
          <w:iCs/>
        </w:rPr>
        <w:t xml:space="preserve">The Commission should add portability provisions to the Reporting Rules </w:t>
      </w:r>
      <w:proofErr w:type="gramStart"/>
      <w:r w:rsidRPr="00E6253D">
        <w:rPr>
          <w:rFonts w:ascii="Times New Roman" w:hAnsi="Times New Roman"/>
          <w:b/>
          <w:bCs/>
          <w:i/>
          <w:iCs/>
        </w:rPr>
        <w:t>similar</w:t>
      </w:r>
      <w:r w:rsidR="000533B4">
        <w:rPr>
          <w:rFonts w:ascii="Times New Roman" w:hAnsi="Times New Roman"/>
          <w:b/>
          <w:bCs/>
          <w:i/>
          <w:iCs/>
        </w:rPr>
        <w:t xml:space="preserve"> </w:t>
      </w:r>
      <w:r w:rsidRPr="00E6253D">
        <w:rPr>
          <w:rFonts w:ascii="Times New Roman" w:hAnsi="Times New Roman"/>
          <w:b/>
          <w:bCs/>
          <w:i/>
          <w:iCs/>
        </w:rPr>
        <w:t>to</w:t>
      </w:r>
      <w:proofErr w:type="gramEnd"/>
      <w:r w:rsidRPr="00E6253D">
        <w:rPr>
          <w:rFonts w:ascii="Times New Roman" w:hAnsi="Times New Roman"/>
          <w:b/>
          <w:bCs/>
          <w:i/>
          <w:iCs/>
        </w:rPr>
        <w:t xml:space="preserve"> those currently utilized by DCOs</w:t>
      </w:r>
    </w:p>
    <w:p w14:paraId="3EF90332" w14:textId="77777777" w:rsidR="000D4F73" w:rsidRPr="00E6253D" w:rsidRDefault="000D4F73" w:rsidP="000D4F73">
      <w:pPr>
        <w:jc w:val="both"/>
        <w:rPr>
          <w:rFonts w:ascii="Times New Roman" w:eastAsiaTheme="minorHAnsi" w:hAnsi="Times New Roman"/>
          <w:b/>
          <w:bCs/>
          <w:i/>
          <w:iCs/>
          <w:sz w:val="22"/>
        </w:rPr>
      </w:pPr>
    </w:p>
    <w:p w14:paraId="3BEF79E5" w14:textId="51785899" w:rsidR="002E7A7A" w:rsidRDefault="00E43EFC" w:rsidP="00D77681">
      <w:pPr>
        <w:autoSpaceDE w:val="0"/>
        <w:autoSpaceDN w:val="0"/>
        <w:spacing w:before="120"/>
        <w:jc w:val="both"/>
        <w:rPr>
          <w:rFonts w:ascii="Times New Roman" w:hAnsi="Times New Roman"/>
        </w:rPr>
      </w:pPr>
      <w:r>
        <w:rPr>
          <w:rFonts w:ascii="Times New Roman" w:hAnsi="Times New Roman"/>
        </w:rPr>
        <w:t>Section 45.10 (Reporting to a single SDR) requires that all swap data for a given swap must be reported to a single SDR, and specifically, the SDR to which creation data is first reported. The Commission did not directly address whether the data in one SDR may be transferred or “ported” to another SDR. The SDRs believe the Commission should reevaluate whether swap data should be allowed to be transferred to another SDR.</w:t>
      </w:r>
      <w:r>
        <w:rPr>
          <w:rFonts w:ascii="Times New Roman" w:hAnsi="Times New Roman"/>
          <w:i/>
          <w:iCs/>
          <w:szCs w:val="24"/>
        </w:rPr>
        <w:t xml:space="preserve"> </w:t>
      </w:r>
      <w:r>
        <w:rPr>
          <w:rFonts w:ascii="Times New Roman" w:hAnsi="Times New Roman"/>
        </w:rPr>
        <w:t>The SDRs support the concept of swap data portability and allowing the reporting counterparty to transfer data to the SDR of its choice. The SDRs believe that the Commission should allow market participants the commercial flexibility to port trades and begin reporting to a new SDR. Currently, the Part 49 rules only contemplate customer porting in the situation where an SDR is winding down or withdrawing its registration. The SDRs request that the Commission explicitly provide for porting more broadly</w:t>
      </w:r>
      <w:r w:rsidR="009F405A">
        <w:rPr>
          <w:rFonts w:ascii="Times New Roman" w:hAnsi="Times New Roman"/>
        </w:rPr>
        <w:t>,</w:t>
      </w:r>
      <w:r>
        <w:rPr>
          <w:rFonts w:ascii="Times New Roman" w:hAnsi="Times New Roman"/>
        </w:rPr>
        <w:t xml:space="preserve"> as this is consistent with the portability and transfer provisions currently in place for DCOs</w:t>
      </w:r>
      <w:r w:rsidR="00221CC5">
        <w:rPr>
          <w:rStyle w:val="FootnoteReference"/>
          <w:rFonts w:ascii="Times New Roman" w:hAnsi="Times New Roman"/>
        </w:rPr>
        <w:footnoteReference w:id="17"/>
      </w:r>
      <w:r w:rsidR="00D77681" w:rsidRPr="00E6253D">
        <w:rPr>
          <w:rFonts w:ascii="Times New Roman" w:hAnsi="Times New Roman"/>
        </w:rPr>
        <w:t xml:space="preserve">. </w:t>
      </w:r>
      <w:r w:rsidR="002E7A7A">
        <w:rPr>
          <w:rFonts w:ascii="Times New Roman" w:hAnsi="Times New Roman"/>
        </w:rPr>
        <w:t xml:space="preserve"> </w:t>
      </w:r>
    </w:p>
    <w:p w14:paraId="35303416" w14:textId="77777777" w:rsidR="00787640" w:rsidRDefault="00787640" w:rsidP="009A6EDA">
      <w:pPr>
        <w:autoSpaceDE w:val="0"/>
        <w:autoSpaceDN w:val="0"/>
        <w:adjustRightInd w:val="0"/>
        <w:rPr>
          <w:rFonts w:ascii="Times New Roman" w:hAnsi="Times New Roman"/>
        </w:rPr>
      </w:pPr>
    </w:p>
    <w:p w14:paraId="154B0E1B" w14:textId="77777777" w:rsidR="004D0C2D" w:rsidRDefault="004D0C2D" w:rsidP="009A6EDA">
      <w:pPr>
        <w:autoSpaceDE w:val="0"/>
        <w:autoSpaceDN w:val="0"/>
        <w:adjustRightIn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w:t>
      </w:r>
      <w:r>
        <w:rPr>
          <w:rFonts w:ascii="Times New Roman" w:hAnsi="Times New Roman"/>
        </w:rPr>
        <w:tab/>
        <w:t>*</w:t>
      </w:r>
      <w:r>
        <w:rPr>
          <w:rFonts w:ascii="Times New Roman" w:hAnsi="Times New Roman"/>
        </w:rPr>
        <w:tab/>
        <w:t>*</w:t>
      </w:r>
      <w:r>
        <w:rPr>
          <w:rFonts w:ascii="Times New Roman" w:hAnsi="Times New Roman"/>
        </w:rPr>
        <w:tab/>
        <w:t>*</w:t>
      </w:r>
    </w:p>
    <w:p w14:paraId="7B68DAAD" w14:textId="77777777" w:rsidR="004D0C2D" w:rsidRDefault="004D0C2D" w:rsidP="009A6EDA">
      <w:pPr>
        <w:autoSpaceDE w:val="0"/>
        <w:autoSpaceDN w:val="0"/>
        <w:adjustRightInd w:val="0"/>
        <w:rPr>
          <w:rFonts w:ascii="Times New Roman" w:hAnsi="Times New Roman"/>
        </w:rPr>
      </w:pPr>
    </w:p>
    <w:p w14:paraId="009A19E2" w14:textId="77777777" w:rsidR="004D0C2D" w:rsidRDefault="004D0C2D" w:rsidP="009A6EDA">
      <w:pPr>
        <w:autoSpaceDE w:val="0"/>
        <w:autoSpaceDN w:val="0"/>
        <w:adjustRightInd w:val="0"/>
        <w:rPr>
          <w:rFonts w:ascii="Times New Roman" w:hAnsi="Times New Roman"/>
          <w:szCs w:val="24"/>
        </w:rPr>
      </w:pPr>
      <w:r w:rsidRPr="004D0C2D">
        <w:rPr>
          <w:rFonts w:ascii="Times New Roman" w:hAnsi="Times New Roman"/>
          <w:szCs w:val="24"/>
        </w:rPr>
        <w:t xml:space="preserve">The SDRs appreciate the opportunity to provide comments on the </w:t>
      </w:r>
      <w:r>
        <w:rPr>
          <w:rFonts w:ascii="Times New Roman" w:hAnsi="Times New Roman"/>
          <w:szCs w:val="24"/>
        </w:rPr>
        <w:t>Roadmap</w:t>
      </w:r>
      <w:r w:rsidRPr="004D0C2D">
        <w:rPr>
          <w:rFonts w:ascii="Times New Roman" w:hAnsi="Times New Roman"/>
          <w:szCs w:val="24"/>
        </w:rPr>
        <w:t xml:space="preserve"> for the Commission’s consideration. Should the Commission wish to discuss these comments further, please feel free to contact any of the undersigned representatives of the SDRs.</w:t>
      </w:r>
    </w:p>
    <w:p w14:paraId="32DFB078" w14:textId="77777777" w:rsidR="004D0C2D" w:rsidRDefault="004D0C2D" w:rsidP="009A6EDA">
      <w:pPr>
        <w:autoSpaceDE w:val="0"/>
        <w:autoSpaceDN w:val="0"/>
        <w:adjustRightInd w:val="0"/>
        <w:rPr>
          <w:rFonts w:ascii="Times New Roman" w:hAnsi="Times New Roman"/>
          <w:szCs w:val="24"/>
        </w:rPr>
      </w:pPr>
    </w:p>
    <w:p w14:paraId="5DF7267C" w14:textId="77777777" w:rsidR="00D05063" w:rsidRDefault="00D05063" w:rsidP="009A6EDA">
      <w:pPr>
        <w:autoSpaceDE w:val="0"/>
        <w:autoSpaceDN w:val="0"/>
        <w:adjustRightInd w:val="0"/>
        <w:rPr>
          <w:rFonts w:ascii="Times New Roman" w:hAnsi="Times New Roman"/>
          <w:szCs w:val="24"/>
        </w:rPr>
      </w:pPr>
    </w:p>
    <w:p w14:paraId="6CD18485" w14:textId="77777777" w:rsidR="00D05063" w:rsidRDefault="00D05063" w:rsidP="009A6EDA">
      <w:pPr>
        <w:autoSpaceDE w:val="0"/>
        <w:autoSpaceDN w:val="0"/>
        <w:adjustRightInd w:val="0"/>
        <w:rPr>
          <w:rFonts w:ascii="Times New Roman" w:hAnsi="Times New Roman"/>
          <w:szCs w:val="24"/>
        </w:rPr>
      </w:pPr>
    </w:p>
    <w:p w14:paraId="4A81BC5E" w14:textId="4D0D8B64" w:rsidR="004D0C2D" w:rsidRDefault="004D0C2D" w:rsidP="009A6EDA">
      <w:pPr>
        <w:autoSpaceDE w:val="0"/>
        <w:autoSpaceDN w:val="0"/>
        <w:adjustRightInd w:val="0"/>
        <w:rPr>
          <w:rFonts w:ascii="Times New Roman" w:hAnsi="Times New Roman"/>
          <w:szCs w:val="24"/>
        </w:rPr>
      </w:pPr>
      <w:r>
        <w:rPr>
          <w:rFonts w:ascii="Times New Roman" w:hAnsi="Times New Roman"/>
          <w:szCs w:val="24"/>
        </w:rPr>
        <w:lastRenderedPageBreak/>
        <w:t>Sincerely,</w:t>
      </w:r>
    </w:p>
    <w:p w14:paraId="6E244025" w14:textId="77777777" w:rsidR="004D0C2D" w:rsidRDefault="004D0C2D" w:rsidP="009A6EDA">
      <w:pPr>
        <w:autoSpaceDE w:val="0"/>
        <w:autoSpaceDN w:val="0"/>
        <w:adjustRightInd w:val="0"/>
        <w:rPr>
          <w:rFonts w:ascii="Times New Roman" w:hAnsi="Times New Roman"/>
          <w:szCs w:val="24"/>
        </w:rPr>
      </w:pPr>
    </w:p>
    <w:tbl>
      <w:tblPr>
        <w:tblStyle w:val="TableGrid"/>
        <w:tblW w:w="5126" w:type="pct"/>
        <w:tblInd w:w="-95" w:type="dxa"/>
        <w:tblLook w:val="04A0" w:firstRow="1" w:lastRow="0" w:firstColumn="1" w:lastColumn="0" w:noHBand="0" w:noVBand="1"/>
      </w:tblPr>
      <w:tblGrid>
        <w:gridCol w:w="3131"/>
        <w:gridCol w:w="3410"/>
        <w:gridCol w:w="3045"/>
      </w:tblGrid>
      <w:tr w:rsidR="009327A5" w:rsidRPr="00EE4A0F" w14:paraId="6D79BE85" w14:textId="77777777" w:rsidTr="001D1B2C">
        <w:tc>
          <w:tcPr>
            <w:tcW w:w="1471" w:type="pct"/>
          </w:tcPr>
          <w:p w14:paraId="7FBDB370" w14:textId="6B0F0752" w:rsidR="009327A5" w:rsidRDefault="009327A5" w:rsidP="009A6EDA">
            <w:pPr>
              <w:autoSpaceDE w:val="0"/>
              <w:autoSpaceDN w:val="0"/>
              <w:adjustRightInd w:val="0"/>
              <w:rPr>
                <w:rFonts w:ascii="Times New Roman" w:hAnsi="Times New Roman"/>
                <w:szCs w:val="24"/>
              </w:rPr>
            </w:pPr>
            <w:r>
              <w:rPr>
                <w:rFonts w:ascii="Times New Roman" w:hAnsi="Times New Roman"/>
                <w:szCs w:val="24"/>
              </w:rPr>
              <w:t>Benjamin Macdonald</w:t>
            </w:r>
          </w:p>
          <w:p w14:paraId="2B99D463" w14:textId="53BE3411" w:rsidR="009327A5" w:rsidRPr="00EE4A0F" w:rsidRDefault="009327A5" w:rsidP="009A6EDA">
            <w:pPr>
              <w:autoSpaceDE w:val="0"/>
              <w:autoSpaceDN w:val="0"/>
              <w:adjustRightInd w:val="0"/>
              <w:rPr>
                <w:rFonts w:ascii="Times New Roman" w:hAnsi="Times New Roman"/>
                <w:szCs w:val="24"/>
              </w:rPr>
            </w:pPr>
            <w:r>
              <w:rPr>
                <w:rFonts w:ascii="Times New Roman" w:hAnsi="Times New Roman"/>
                <w:szCs w:val="24"/>
              </w:rPr>
              <w:t>President</w:t>
            </w:r>
          </w:p>
        </w:tc>
        <w:tc>
          <w:tcPr>
            <w:tcW w:w="1860" w:type="pct"/>
          </w:tcPr>
          <w:p w14:paraId="4775A7D1" w14:textId="77777777" w:rsidR="009327A5" w:rsidRPr="00EE4A0F" w:rsidRDefault="009327A5" w:rsidP="009A6EDA">
            <w:pPr>
              <w:autoSpaceDE w:val="0"/>
              <w:autoSpaceDN w:val="0"/>
              <w:adjustRightInd w:val="0"/>
              <w:rPr>
                <w:rFonts w:ascii="Times New Roman" w:hAnsi="Times New Roman"/>
                <w:szCs w:val="24"/>
              </w:rPr>
            </w:pPr>
            <w:r w:rsidRPr="00EE4A0F">
              <w:rPr>
                <w:rFonts w:ascii="Times New Roman" w:hAnsi="Times New Roman"/>
                <w:szCs w:val="24"/>
              </w:rPr>
              <w:t xml:space="preserve">Jonathan </w:t>
            </w:r>
            <w:proofErr w:type="spellStart"/>
            <w:r w:rsidRPr="00EE4A0F">
              <w:rPr>
                <w:rFonts w:ascii="Times New Roman" w:hAnsi="Times New Roman"/>
                <w:szCs w:val="24"/>
              </w:rPr>
              <w:t>Thursby</w:t>
            </w:r>
            <w:proofErr w:type="spellEnd"/>
          </w:p>
          <w:p w14:paraId="07B3CC34" w14:textId="77777777" w:rsidR="009327A5" w:rsidRPr="00EE4A0F" w:rsidRDefault="009327A5" w:rsidP="009A6EDA">
            <w:pPr>
              <w:autoSpaceDE w:val="0"/>
              <w:autoSpaceDN w:val="0"/>
              <w:adjustRightInd w:val="0"/>
              <w:rPr>
                <w:rFonts w:ascii="Times New Roman" w:hAnsi="Times New Roman"/>
                <w:szCs w:val="24"/>
              </w:rPr>
            </w:pPr>
            <w:r w:rsidRPr="00EE4A0F">
              <w:rPr>
                <w:rFonts w:ascii="Times New Roman" w:hAnsi="Times New Roman"/>
                <w:szCs w:val="24"/>
              </w:rPr>
              <w:t>President, CME Swap Data Repository</w:t>
            </w:r>
          </w:p>
        </w:tc>
        <w:tc>
          <w:tcPr>
            <w:tcW w:w="1669" w:type="pct"/>
          </w:tcPr>
          <w:p w14:paraId="5EFD60D6" w14:textId="77777777" w:rsidR="009327A5" w:rsidRPr="00EE4A0F" w:rsidRDefault="009327A5" w:rsidP="009A6EDA">
            <w:pPr>
              <w:autoSpaceDE w:val="0"/>
              <w:autoSpaceDN w:val="0"/>
              <w:adjustRightInd w:val="0"/>
              <w:rPr>
                <w:rFonts w:ascii="Times New Roman" w:hAnsi="Times New Roman"/>
                <w:szCs w:val="24"/>
              </w:rPr>
            </w:pPr>
            <w:r w:rsidRPr="00EE4A0F">
              <w:rPr>
                <w:rFonts w:ascii="Times New Roman" w:hAnsi="Times New Roman"/>
                <w:szCs w:val="24"/>
              </w:rPr>
              <w:t>Kara Dutta</w:t>
            </w:r>
          </w:p>
          <w:p w14:paraId="3978E1C3" w14:textId="77777777" w:rsidR="009327A5" w:rsidRPr="00EE4A0F" w:rsidRDefault="009327A5" w:rsidP="009A6EDA">
            <w:pPr>
              <w:autoSpaceDE w:val="0"/>
              <w:autoSpaceDN w:val="0"/>
              <w:adjustRightInd w:val="0"/>
              <w:rPr>
                <w:rFonts w:ascii="Times New Roman" w:hAnsi="Times New Roman"/>
                <w:szCs w:val="24"/>
              </w:rPr>
            </w:pPr>
            <w:r w:rsidRPr="00EE4A0F">
              <w:rPr>
                <w:rFonts w:ascii="Times New Roman" w:hAnsi="Times New Roman"/>
                <w:szCs w:val="24"/>
              </w:rPr>
              <w:t>General Counsel</w:t>
            </w:r>
          </w:p>
        </w:tc>
      </w:tr>
      <w:tr w:rsidR="009327A5" w:rsidRPr="00EE4A0F" w14:paraId="3004C17B" w14:textId="77777777" w:rsidTr="001D1B2C">
        <w:tc>
          <w:tcPr>
            <w:tcW w:w="1471" w:type="pct"/>
          </w:tcPr>
          <w:p w14:paraId="728ED57F" w14:textId="77777777" w:rsidR="009327A5" w:rsidRPr="00EE4A0F" w:rsidRDefault="009327A5" w:rsidP="009A6EDA">
            <w:pPr>
              <w:autoSpaceDE w:val="0"/>
              <w:autoSpaceDN w:val="0"/>
              <w:adjustRightInd w:val="0"/>
              <w:rPr>
                <w:rFonts w:ascii="Times New Roman" w:hAnsi="Times New Roman"/>
                <w:szCs w:val="24"/>
              </w:rPr>
            </w:pPr>
            <w:r w:rsidRPr="00E6253D">
              <w:rPr>
                <w:rFonts w:ascii="Times New Roman" w:hAnsi="Times New Roman"/>
              </w:rPr>
              <w:t>BSDR LLC</w:t>
            </w:r>
          </w:p>
        </w:tc>
        <w:tc>
          <w:tcPr>
            <w:tcW w:w="1860" w:type="pct"/>
          </w:tcPr>
          <w:p w14:paraId="6CA1599A" w14:textId="77777777" w:rsidR="009327A5" w:rsidRPr="00EE4A0F" w:rsidRDefault="009327A5" w:rsidP="009A6EDA">
            <w:pPr>
              <w:autoSpaceDE w:val="0"/>
              <w:autoSpaceDN w:val="0"/>
              <w:adjustRightInd w:val="0"/>
              <w:rPr>
                <w:rFonts w:ascii="Times New Roman" w:hAnsi="Times New Roman"/>
                <w:szCs w:val="24"/>
              </w:rPr>
            </w:pPr>
            <w:r w:rsidRPr="00EE4A0F">
              <w:rPr>
                <w:rFonts w:ascii="Times New Roman" w:hAnsi="Times New Roman"/>
                <w:szCs w:val="24"/>
              </w:rPr>
              <w:t>Chicago Mercantile Exchange Inc.</w:t>
            </w:r>
          </w:p>
        </w:tc>
        <w:tc>
          <w:tcPr>
            <w:tcW w:w="1669" w:type="pct"/>
          </w:tcPr>
          <w:p w14:paraId="207E8017" w14:textId="77777777" w:rsidR="009327A5" w:rsidRPr="00EE4A0F" w:rsidRDefault="009327A5" w:rsidP="009A6EDA">
            <w:pPr>
              <w:autoSpaceDE w:val="0"/>
              <w:autoSpaceDN w:val="0"/>
              <w:adjustRightInd w:val="0"/>
              <w:rPr>
                <w:rFonts w:ascii="Times New Roman" w:hAnsi="Times New Roman"/>
                <w:szCs w:val="24"/>
              </w:rPr>
            </w:pPr>
            <w:r w:rsidRPr="00EE4A0F">
              <w:rPr>
                <w:rFonts w:ascii="Times New Roman" w:hAnsi="Times New Roman"/>
                <w:szCs w:val="24"/>
              </w:rPr>
              <w:t>ICE Trade Vault, LLC</w:t>
            </w:r>
          </w:p>
        </w:tc>
      </w:tr>
      <w:tr w:rsidR="009327A5" w:rsidRPr="00EE4A0F" w14:paraId="1CD702DC" w14:textId="77777777" w:rsidTr="001D1B2C">
        <w:tc>
          <w:tcPr>
            <w:tcW w:w="1471" w:type="pct"/>
          </w:tcPr>
          <w:p w14:paraId="417F5E54" w14:textId="30B7ED76" w:rsidR="009327A5" w:rsidRPr="00EE4A0F" w:rsidRDefault="00CE515D" w:rsidP="009A6EDA">
            <w:pPr>
              <w:autoSpaceDE w:val="0"/>
              <w:autoSpaceDN w:val="0"/>
              <w:adjustRightInd w:val="0"/>
              <w:rPr>
                <w:rFonts w:ascii="Times New Roman" w:hAnsi="Times New Roman"/>
                <w:szCs w:val="24"/>
              </w:rPr>
            </w:pPr>
            <w:r>
              <w:rPr>
                <w:noProof/>
              </w:rPr>
              <w:drawing>
                <wp:inline distT="0" distB="0" distL="0" distR="0" wp14:anchorId="1B1DA2FC" wp14:editId="2D83274B">
                  <wp:extent cx="1851060" cy="597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4006" cy="601714"/>
                          </a:xfrm>
                          <a:prstGeom prst="rect">
                            <a:avLst/>
                          </a:prstGeom>
                        </pic:spPr>
                      </pic:pic>
                    </a:graphicData>
                  </a:graphic>
                </wp:inline>
              </w:drawing>
            </w:r>
          </w:p>
        </w:tc>
        <w:tc>
          <w:tcPr>
            <w:tcW w:w="1860" w:type="pct"/>
          </w:tcPr>
          <w:p w14:paraId="4E52A3C4" w14:textId="58449D58" w:rsidR="009327A5" w:rsidRPr="00EE4A0F" w:rsidRDefault="009F405A" w:rsidP="009A6EDA">
            <w:pPr>
              <w:autoSpaceDE w:val="0"/>
              <w:autoSpaceDN w:val="0"/>
              <w:adjustRightInd w:val="0"/>
              <w:rPr>
                <w:rFonts w:ascii="Times New Roman" w:hAnsi="Times New Roman"/>
                <w:szCs w:val="24"/>
              </w:rPr>
            </w:pPr>
            <w:r>
              <w:rPr>
                <w:noProof/>
                <w:szCs w:val="24"/>
              </w:rPr>
              <w:drawing>
                <wp:anchor distT="0" distB="0" distL="114300" distR="114300" simplePos="0" relativeHeight="251658240" behindDoc="1" locked="0" layoutInCell="1" allowOverlap="1" wp14:anchorId="2A630E72" wp14:editId="370A0780">
                  <wp:simplePos x="0" y="0"/>
                  <wp:positionH relativeFrom="column">
                    <wp:posOffset>85725</wp:posOffset>
                  </wp:positionH>
                  <wp:positionV relativeFrom="paragraph">
                    <wp:posOffset>-3175</wp:posOffset>
                  </wp:positionV>
                  <wp:extent cx="1888419" cy="913179"/>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8419" cy="9131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17B95" w14:textId="77777777" w:rsidR="009327A5" w:rsidRPr="00EE4A0F" w:rsidRDefault="009327A5" w:rsidP="009A6EDA">
            <w:pPr>
              <w:autoSpaceDE w:val="0"/>
              <w:autoSpaceDN w:val="0"/>
              <w:adjustRightInd w:val="0"/>
              <w:rPr>
                <w:rFonts w:ascii="Times New Roman" w:hAnsi="Times New Roman"/>
                <w:szCs w:val="24"/>
              </w:rPr>
            </w:pPr>
          </w:p>
          <w:p w14:paraId="5DCED3C0" w14:textId="77777777" w:rsidR="009327A5" w:rsidRPr="00EE4A0F" w:rsidRDefault="009327A5" w:rsidP="009A6EDA">
            <w:pPr>
              <w:autoSpaceDE w:val="0"/>
              <w:autoSpaceDN w:val="0"/>
              <w:adjustRightInd w:val="0"/>
              <w:rPr>
                <w:rFonts w:ascii="Times New Roman" w:hAnsi="Times New Roman"/>
                <w:szCs w:val="24"/>
              </w:rPr>
            </w:pPr>
          </w:p>
          <w:p w14:paraId="629E57AC" w14:textId="77777777" w:rsidR="009327A5" w:rsidRPr="00EE4A0F" w:rsidRDefault="009327A5" w:rsidP="009A6EDA">
            <w:pPr>
              <w:autoSpaceDE w:val="0"/>
              <w:autoSpaceDN w:val="0"/>
              <w:adjustRightInd w:val="0"/>
              <w:rPr>
                <w:rFonts w:ascii="Times New Roman" w:hAnsi="Times New Roman"/>
                <w:szCs w:val="24"/>
              </w:rPr>
            </w:pPr>
          </w:p>
        </w:tc>
        <w:tc>
          <w:tcPr>
            <w:tcW w:w="1669" w:type="pct"/>
          </w:tcPr>
          <w:p w14:paraId="7296C380" w14:textId="048CFA49" w:rsidR="009327A5" w:rsidRPr="00EE4A0F" w:rsidRDefault="009F405A" w:rsidP="009A6EDA">
            <w:pPr>
              <w:autoSpaceDE w:val="0"/>
              <w:autoSpaceDN w:val="0"/>
              <w:adjustRightInd w:val="0"/>
              <w:rPr>
                <w:rFonts w:ascii="Times New Roman" w:hAnsi="Times New Roman"/>
                <w:szCs w:val="24"/>
              </w:rPr>
            </w:pPr>
            <w:r>
              <w:rPr>
                <w:noProof/>
              </w:rPr>
              <w:drawing>
                <wp:anchor distT="0" distB="0" distL="114300" distR="114300" simplePos="0" relativeHeight="251659264" behindDoc="1" locked="0" layoutInCell="1" allowOverlap="1" wp14:anchorId="4D4EF0E2" wp14:editId="4FAD0887">
                  <wp:simplePos x="0" y="0"/>
                  <wp:positionH relativeFrom="column">
                    <wp:posOffset>364441</wp:posOffset>
                  </wp:positionH>
                  <wp:positionV relativeFrom="paragraph">
                    <wp:posOffset>137160</wp:posOffset>
                  </wp:positionV>
                  <wp:extent cx="894345" cy="464234"/>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4345" cy="464234"/>
                          </a:xfrm>
                          <a:prstGeom prst="rect">
                            <a:avLst/>
                          </a:prstGeom>
                          <a:noFill/>
                        </pic:spPr>
                      </pic:pic>
                    </a:graphicData>
                  </a:graphic>
                  <wp14:sizeRelH relativeFrom="page">
                    <wp14:pctWidth>0</wp14:pctWidth>
                  </wp14:sizeRelH>
                  <wp14:sizeRelV relativeFrom="page">
                    <wp14:pctHeight>0</wp14:pctHeight>
                  </wp14:sizeRelV>
                </wp:anchor>
              </w:drawing>
            </w:r>
          </w:p>
        </w:tc>
      </w:tr>
    </w:tbl>
    <w:p w14:paraId="7F95610C" w14:textId="77777777" w:rsidR="004D0C2D" w:rsidRPr="004D0C2D" w:rsidRDefault="004D0C2D" w:rsidP="009A6EDA">
      <w:pPr>
        <w:autoSpaceDE w:val="0"/>
        <w:autoSpaceDN w:val="0"/>
        <w:adjustRightInd w:val="0"/>
        <w:rPr>
          <w:rFonts w:ascii="Times New Roman" w:hAnsi="Times New Roman"/>
          <w:szCs w:val="24"/>
        </w:rPr>
      </w:pPr>
    </w:p>
    <w:p w14:paraId="20B9133B" w14:textId="77777777" w:rsidR="00787640" w:rsidRDefault="00787640" w:rsidP="009A6EDA">
      <w:pPr>
        <w:autoSpaceDE w:val="0"/>
        <w:autoSpaceDN w:val="0"/>
        <w:adjustRightInd w:val="0"/>
        <w:rPr>
          <w:rFonts w:ascii="Times New Roman" w:hAnsi="Times New Roman"/>
          <w:b/>
          <w:szCs w:val="24"/>
          <w:highlight w:val="yellow"/>
        </w:rPr>
      </w:pPr>
    </w:p>
    <w:p w14:paraId="77237A4C" w14:textId="77777777" w:rsidR="004D0C2D" w:rsidRDefault="004D0C2D" w:rsidP="009A6EDA">
      <w:pPr>
        <w:autoSpaceDE w:val="0"/>
        <w:autoSpaceDN w:val="0"/>
        <w:adjustRightInd w:val="0"/>
        <w:rPr>
          <w:rFonts w:ascii="Times New Roman" w:hAnsi="Times New Roman"/>
          <w:b/>
          <w:szCs w:val="24"/>
          <w:highlight w:val="yellow"/>
        </w:rPr>
      </w:pPr>
    </w:p>
    <w:p w14:paraId="2717BAD5" w14:textId="58160CE8" w:rsidR="004D0C2D" w:rsidRDefault="004D0C2D" w:rsidP="009A6EDA">
      <w:pPr>
        <w:autoSpaceDE w:val="0"/>
        <w:autoSpaceDN w:val="0"/>
        <w:adjustRightInd w:val="0"/>
        <w:rPr>
          <w:rFonts w:ascii="Times New Roman" w:hAnsi="Times New Roman"/>
          <w:szCs w:val="24"/>
        </w:rPr>
      </w:pPr>
      <w:r w:rsidRPr="004D0C2D">
        <w:rPr>
          <w:rFonts w:ascii="Times New Roman" w:hAnsi="Times New Roman"/>
          <w:szCs w:val="24"/>
        </w:rPr>
        <w:t>CC:</w:t>
      </w:r>
      <w:r w:rsidRPr="004D0C2D">
        <w:rPr>
          <w:rFonts w:ascii="Times New Roman" w:hAnsi="Times New Roman"/>
          <w:szCs w:val="24"/>
        </w:rPr>
        <w:tab/>
      </w:r>
      <w:r w:rsidR="001B4397">
        <w:rPr>
          <w:rFonts w:ascii="Times New Roman" w:hAnsi="Times New Roman"/>
          <w:szCs w:val="24"/>
        </w:rPr>
        <w:t>Michael Wise, BSDR LLC, Chief Compliance Officer</w:t>
      </w:r>
    </w:p>
    <w:p w14:paraId="546755B8" w14:textId="77777777" w:rsidR="004D0C2D" w:rsidRPr="004D0C2D" w:rsidRDefault="004D0C2D" w:rsidP="004D0C2D">
      <w:pPr>
        <w:autoSpaceDE w:val="0"/>
        <w:autoSpaceDN w:val="0"/>
        <w:adjustRightInd w:val="0"/>
        <w:ind w:firstLine="720"/>
        <w:rPr>
          <w:rFonts w:ascii="Times New Roman" w:hAnsi="Times New Roman"/>
          <w:szCs w:val="24"/>
        </w:rPr>
      </w:pPr>
      <w:r w:rsidRPr="004D0C2D">
        <w:rPr>
          <w:rFonts w:ascii="Times New Roman" w:hAnsi="Times New Roman"/>
          <w:szCs w:val="24"/>
        </w:rPr>
        <w:t>Tim Elliott, CME Inc., Executive Director &amp; Associate General Counsel</w:t>
      </w:r>
    </w:p>
    <w:p w14:paraId="73A41A07" w14:textId="29BE5657" w:rsidR="00711E91" w:rsidRPr="00334C34" w:rsidRDefault="004D0C2D" w:rsidP="00BA4A6F">
      <w:pPr>
        <w:autoSpaceDE w:val="0"/>
        <w:autoSpaceDN w:val="0"/>
        <w:adjustRightInd w:val="0"/>
        <w:rPr>
          <w:b/>
        </w:rPr>
      </w:pPr>
      <w:r w:rsidRPr="00EE4A0F">
        <w:rPr>
          <w:rFonts w:ascii="Times New Roman" w:hAnsi="Times New Roman"/>
          <w:szCs w:val="24"/>
        </w:rPr>
        <w:tab/>
      </w:r>
      <w:r w:rsidR="009F405A" w:rsidRPr="00D05063">
        <w:rPr>
          <w:rFonts w:ascii="Times New Roman" w:hAnsi="Times New Roman"/>
          <w:szCs w:val="24"/>
        </w:rPr>
        <w:t>Trabue Bland, ICE Trade Vault, LLC, President</w:t>
      </w:r>
    </w:p>
    <w:sectPr w:rsidR="00711E91" w:rsidRPr="00334C34" w:rsidSect="007165CA">
      <w:headerReference w:type="default" r:id="rId11"/>
      <w:footerReference w:type="default" r:id="rId12"/>
      <w:pgSz w:w="12240" w:h="15840"/>
      <w:pgMar w:top="1980" w:right="1440" w:bottom="1440" w:left="1440"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D5E2" w14:textId="77777777" w:rsidR="000B39AD" w:rsidRDefault="000B39AD" w:rsidP="00334C34">
      <w:r>
        <w:separator/>
      </w:r>
    </w:p>
  </w:endnote>
  <w:endnote w:type="continuationSeparator" w:id="0">
    <w:p w14:paraId="0B3E6A04" w14:textId="77777777" w:rsidR="000B39AD" w:rsidRDefault="000B39AD" w:rsidP="00334C34">
      <w:r>
        <w:continuationSeparator/>
      </w:r>
    </w:p>
  </w:endnote>
  <w:endnote w:type="continuationNotice" w:id="1">
    <w:p w14:paraId="65E6D0C1" w14:textId="77777777" w:rsidR="000B39AD" w:rsidRDefault="000B3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23798"/>
      <w:docPartObj>
        <w:docPartGallery w:val="Page Numbers (Bottom of Page)"/>
        <w:docPartUnique/>
      </w:docPartObj>
    </w:sdtPr>
    <w:sdtEndPr>
      <w:rPr>
        <w:rFonts w:ascii="Times New Roman" w:hAnsi="Times New Roman"/>
        <w:noProof/>
      </w:rPr>
    </w:sdtEndPr>
    <w:sdtContent>
      <w:p w14:paraId="051BF2CC" w14:textId="3FCB306B" w:rsidR="004D0D34" w:rsidRPr="00D176BD" w:rsidRDefault="004D0D34">
        <w:pPr>
          <w:pStyle w:val="Footer"/>
          <w:jc w:val="center"/>
          <w:rPr>
            <w:rFonts w:ascii="Times New Roman" w:hAnsi="Times New Roman"/>
          </w:rPr>
        </w:pPr>
        <w:r w:rsidRPr="00D176BD">
          <w:rPr>
            <w:rFonts w:ascii="Times New Roman" w:hAnsi="Times New Roman"/>
          </w:rPr>
          <w:fldChar w:fldCharType="begin"/>
        </w:r>
        <w:r w:rsidRPr="00D176BD">
          <w:rPr>
            <w:rFonts w:ascii="Times New Roman" w:hAnsi="Times New Roman"/>
          </w:rPr>
          <w:instrText xml:space="preserve"> PAGE   \* MERGEFORMAT </w:instrText>
        </w:r>
        <w:r w:rsidRPr="00D176BD">
          <w:rPr>
            <w:rFonts w:ascii="Times New Roman" w:hAnsi="Times New Roman"/>
          </w:rPr>
          <w:fldChar w:fldCharType="separate"/>
        </w:r>
        <w:r w:rsidR="00EF02FE">
          <w:rPr>
            <w:rFonts w:ascii="Times New Roman" w:hAnsi="Times New Roman"/>
            <w:noProof/>
          </w:rPr>
          <w:t>16</w:t>
        </w:r>
        <w:r w:rsidRPr="00D176BD">
          <w:rPr>
            <w:rFonts w:ascii="Times New Roman" w:hAnsi="Times New Roman"/>
            <w:noProof/>
          </w:rPr>
          <w:fldChar w:fldCharType="end"/>
        </w:r>
      </w:p>
    </w:sdtContent>
  </w:sdt>
  <w:p w14:paraId="1C3E2E3D" w14:textId="77777777" w:rsidR="004D0D34" w:rsidRDefault="004D0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13FF7" w14:textId="77777777" w:rsidR="000B39AD" w:rsidRDefault="000B39AD" w:rsidP="00334C34">
      <w:r>
        <w:separator/>
      </w:r>
    </w:p>
  </w:footnote>
  <w:footnote w:type="continuationSeparator" w:id="0">
    <w:p w14:paraId="457633AD" w14:textId="77777777" w:rsidR="000B39AD" w:rsidRDefault="000B39AD" w:rsidP="00334C34">
      <w:r>
        <w:continuationSeparator/>
      </w:r>
    </w:p>
  </w:footnote>
  <w:footnote w:type="continuationNotice" w:id="1">
    <w:p w14:paraId="12A35B4C" w14:textId="77777777" w:rsidR="000B39AD" w:rsidRDefault="000B39AD"/>
  </w:footnote>
  <w:footnote w:id="2">
    <w:p w14:paraId="7DD5B5E0" w14:textId="2066F8E3" w:rsidR="004D0D34" w:rsidRPr="00A220DA" w:rsidRDefault="004D0D34" w:rsidP="00334C34">
      <w:pPr>
        <w:autoSpaceDE w:val="0"/>
        <w:autoSpaceDN w:val="0"/>
        <w:adjustRightInd w:val="0"/>
        <w:rPr>
          <w:rFonts w:ascii="Times New Roman" w:hAnsi="Times New Roman"/>
          <w:sz w:val="20"/>
        </w:rPr>
      </w:pPr>
      <w:r w:rsidRPr="003337AF">
        <w:rPr>
          <w:rStyle w:val="FootnoteReference"/>
          <w:rFonts w:ascii="Times New Roman" w:hAnsi="Times New Roman"/>
        </w:rPr>
        <w:footnoteRef/>
      </w:r>
      <w:r w:rsidRPr="003337AF">
        <w:rPr>
          <w:rFonts w:ascii="Times New Roman" w:hAnsi="Times New Roman"/>
        </w:rPr>
        <w:t xml:space="preserve"> CFTC Staff Letter 17-33 (July 10, 2017).</w:t>
      </w:r>
    </w:p>
  </w:footnote>
  <w:footnote w:id="3">
    <w:p w14:paraId="0AAF5D85" w14:textId="77777777" w:rsidR="007A35C6" w:rsidRDefault="007A35C6" w:rsidP="00901FD8">
      <w:pPr>
        <w:pStyle w:val="FootnoteText"/>
        <w:ind w:firstLine="0"/>
      </w:pPr>
      <w:r>
        <w:rPr>
          <w:rStyle w:val="FootnoteReference"/>
        </w:rPr>
        <w:footnoteRef/>
      </w:r>
      <w:r>
        <w:t xml:space="preserve"> </w:t>
      </w:r>
      <w:r>
        <w:rPr>
          <w:rFonts w:ascii="Times New Roman" w:hAnsi="Times New Roman"/>
          <w:color w:val="000000"/>
          <w:szCs w:val="24"/>
        </w:rPr>
        <w:t xml:space="preserve">It should be noted that many SDRs already have extensive processes in place for the rejection of data with missing or incomplete elements. </w:t>
      </w:r>
    </w:p>
  </w:footnote>
  <w:footnote w:id="4">
    <w:p w14:paraId="04A376A2" w14:textId="77777777" w:rsidR="004D0D34" w:rsidRPr="00583BC6" w:rsidRDefault="004D0D34" w:rsidP="00E6253D">
      <w:pPr>
        <w:pStyle w:val="FootnoteText"/>
        <w:ind w:firstLine="0"/>
        <w:rPr>
          <w:rFonts w:ascii="Times New Roman" w:hAnsi="Times New Roman"/>
        </w:rPr>
      </w:pPr>
      <w:r w:rsidRPr="00AE1B4C">
        <w:rPr>
          <w:rStyle w:val="FootnoteReference"/>
          <w:rFonts w:ascii="Times New Roman" w:hAnsi="Times New Roman"/>
        </w:rPr>
        <w:footnoteRef/>
      </w:r>
      <w:r w:rsidRPr="00AE1B4C">
        <w:rPr>
          <w:rFonts w:ascii="Times New Roman" w:hAnsi="Times New Roman"/>
        </w:rPr>
        <w:t xml:space="preserve"> The Canadian provincial regulators have discussed setting similar validation standards</w:t>
      </w:r>
      <w:r w:rsidRPr="00583BC6">
        <w:rPr>
          <w:rFonts w:ascii="Times New Roman" w:hAnsi="Times New Roman"/>
        </w:rPr>
        <w:t>.  Given the similarities between the fields we would encourage coordination in establishing such validations.</w:t>
      </w:r>
    </w:p>
  </w:footnote>
  <w:footnote w:id="5">
    <w:p w14:paraId="0E0AEAFD" w14:textId="77777777" w:rsidR="00583BC6" w:rsidRPr="00AE1B4C" w:rsidRDefault="00583BC6" w:rsidP="00583BC6">
      <w:pPr>
        <w:pStyle w:val="FootnoteText"/>
        <w:ind w:firstLine="0"/>
        <w:rPr>
          <w:rFonts w:ascii="Times New Roman" w:hAnsi="Times New Roman"/>
        </w:rPr>
      </w:pPr>
      <w:r w:rsidRPr="00AE1B4C">
        <w:rPr>
          <w:rStyle w:val="FootnoteReference"/>
          <w:rFonts w:ascii="Times New Roman" w:hAnsi="Times New Roman"/>
        </w:rPr>
        <w:footnoteRef/>
      </w:r>
      <w:r w:rsidRPr="00AE1B4C">
        <w:rPr>
          <w:rFonts w:ascii="Times New Roman" w:hAnsi="Times New Roman"/>
        </w:rPr>
        <w:t xml:space="preserve"> </w:t>
      </w:r>
      <w:r w:rsidRPr="00583BC6">
        <w:rPr>
          <w:rFonts w:ascii="Times New Roman" w:hAnsi="Times New Roman"/>
          <w:color w:val="000000"/>
          <w:szCs w:val="24"/>
        </w:rPr>
        <w:t>For example, an SDR has captured an indication of whether the reporting counterparty is a US person in a field named &lt;</w:t>
      </w:r>
      <w:proofErr w:type="spellStart"/>
      <w:r w:rsidRPr="00583BC6">
        <w:rPr>
          <w:rFonts w:ascii="Times New Roman" w:hAnsi="Times New Roman"/>
          <w:color w:val="000000"/>
          <w:szCs w:val="24"/>
        </w:rPr>
        <w:t>RptPtyUSPerson</w:t>
      </w:r>
      <w:proofErr w:type="spellEnd"/>
      <w:r w:rsidRPr="00583BC6">
        <w:rPr>
          <w:rFonts w:ascii="Times New Roman" w:hAnsi="Times New Roman"/>
          <w:color w:val="000000"/>
          <w:szCs w:val="24"/>
        </w:rPr>
        <w:t>&gt; with valid values “Yes” and “No”.  But</w:t>
      </w:r>
      <w:r w:rsidRPr="00AE1B4C">
        <w:rPr>
          <w:rFonts w:ascii="Times New Roman" w:hAnsi="Times New Roman"/>
          <w:color w:val="000000"/>
          <w:szCs w:val="24"/>
        </w:rPr>
        <w:t>, the Commission wants the information provided to them with the field &lt;Ctrpty_1_US_Person_Ind&gt; with valid values “Y” and “N”.  The SDR should not have to collect information on input in a field named &lt;Ctrpty_1_US_Person_Ind&gt; with valid values “Y” and “N”, if it requests the information necessary to be able to populate the fields, and provides the data to the Commission in the requested formats with the stated valid values</w:t>
      </w:r>
      <w:r w:rsidRPr="00583BC6">
        <w:rPr>
          <w:rFonts w:ascii="Times New Roman" w:hAnsi="Times New Roman"/>
          <w:color w:val="000000"/>
          <w:szCs w:val="24"/>
        </w:rPr>
        <w:t>.</w:t>
      </w:r>
    </w:p>
  </w:footnote>
  <w:footnote w:id="6">
    <w:p w14:paraId="5D3F37F0" w14:textId="4DEF6D48" w:rsidR="002F2BE4" w:rsidRDefault="002F2BE4" w:rsidP="002F2BE4">
      <w:pPr>
        <w:pStyle w:val="FootnoteText"/>
        <w:ind w:firstLine="0"/>
      </w:pPr>
      <w:r w:rsidRPr="00E1163F">
        <w:rPr>
          <w:rStyle w:val="FootnoteReference"/>
          <w:rFonts w:ascii="Times New Roman" w:hAnsi="Times New Roman"/>
        </w:rPr>
        <w:footnoteRef/>
      </w:r>
      <w:r>
        <w:t xml:space="preserve"> </w:t>
      </w:r>
      <w:r>
        <w:rPr>
          <w:rFonts w:ascii="Times New Roman" w:hAnsi="Times New Roman"/>
          <w:color w:val="000000"/>
          <w:szCs w:val="24"/>
        </w:rPr>
        <w:t>Should the Commission choose to have non-reporting parties have affirmative obligations to confirm the accuracy of the data, the SDRs believe that the non-reporting parties must onboard to the SDR and follow the process and procedures established at the SDRs to confirm the accuracy of the data.</w:t>
      </w:r>
    </w:p>
  </w:footnote>
  <w:footnote w:id="7">
    <w:p w14:paraId="39273D3D" w14:textId="333614CB" w:rsidR="00E6253D" w:rsidRPr="00E6253D" w:rsidRDefault="00E6253D" w:rsidP="00E6253D">
      <w:pPr>
        <w:pStyle w:val="FootnoteText"/>
        <w:ind w:firstLine="0"/>
        <w:rPr>
          <w:rFonts w:ascii="Times New Roman" w:hAnsi="Times New Roman"/>
        </w:rPr>
      </w:pPr>
      <w:r w:rsidRPr="000D4F73">
        <w:rPr>
          <w:rStyle w:val="FootnoteReference"/>
          <w:rFonts w:ascii="Times New Roman" w:hAnsi="Times New Roman"/>
        </w:rPr>
        <w:footnoteRef/>
      </w:r>
      <w:r w:rsidRPr="000D4F73">
        <w:rPr>
          <w:rFonts w:ascii="Times New Roman" w:hAnsi="Times New Roman"/>
        </w:rPr>
        <w:t xml:space="preserve"> ICE Trade Vault will be commenting separately on this issue.</w:t>
      </w:r>
    </w:p>
  </w:footnote>
  <w:footnote w:id="8">
    <w:p w14:paraId="07DB17BC" w14:textId="77777777" w:rsidR="0054532F" w:rsidRPr="0054532F" w:rsidRDefault="0054532F" w:rsidP="0054532F">
      <w:pPr>
        <w:pStyle w:val="FootnoteText"/>
        <w:spacing w:after="0"/>
        <w:ind w:firstLine="0"/>
        <w:rPr>
          <w:rFonts w:ascii="Times New Roman" w:hAnsi="Times New Roman"/>
          <w:szCs w:val="24"/>
        </w:rPr>
      </w:pPr>
      <w:r w:rsidRPr="0054532F">
        <w:rPr>
          <w:rStyle w:val="FootnoteReference"/>
          <w:rFonts w:ascii="Times New Roman" w:hAnsi="Times New Roman"/>
          <w:szCs w:val="24"/>
        </w:rPr>
        <w:footnoteRef/>
      </w:r>
      <w:r w:rsidRPr="0054532F">
        <w:rPr>
          <w:rFonts w:ascii="Times New Roman" w:hAnsi="Times New Roman"/>
          <w:szCs w:val="24"/>
        </w:rPr>
        <w:t xml:space="preserve"> </w:t>
      </w:r>
      <w:r w:rsidRPr="0054532F">
        <w:rPr>
          <w:rFonts w:ascii="Times New Roman" w:hAnsi="Times New Roman"/>
          <w:color w:val="000000"/>
          <w:szCs w:val="24"/>
        </w:rPr>
        <w:t>Specifically, swap dealers (“SD”) and major swap participants (“MSP”) have until the end of the second business day following the day of execution to confirm a swap transaction with non-SDs, non-MSPs and non-financial entities (“FE”).  The confirmation deadlines are shorter for swaps with other SDs, MSPs or FEs.  Additionally, there are no deadlines prescribed for confirmation of transactions between end users.  Minimally, reporting counterparties to such transactions should have at least as long to report Confirmation Data to an SDR as SDs or MSPs who are transacting with non-SDs, non-MSPs and non-FEs.</w:t>
      </w:r>
      <w:r>
        <w:rPr>
          <w:rFonts w:ascii="Times New Roman" w:hAnsi="Times New Roman"/>
          <w:color w:val="000000"/>
          <w:szCs w:val="24"/>
        </w:rPr>
        <w:t xml:space="preserve">  </w:t>
      </w:r>
      <w:r w:rsidRPr="00EB2BAF">
        <w:rPr>
          <w:rFonts w:ascii="Times New Roman" w:hAnsi="Times New Roman"/>
          <w:i/>
          <w:color w:val="000000"/>
          <w:szCs w:val="24"/>
        </w:rPr>
        <w:t>See</w:t>
      </w:r>
      <w:r>
        <w:rPr>
          <w:rFonts w:ascii="Times New Roman" w:hAnsi="Times New Roman"/>
          <w:color w:val="000000"/>
          <w:szCs w:val="24"/>
        </w:rPr>
        <w:t xml:space="preserve"> 17 C.F.R. </w:t>
      </w:r>
      <w:r w:rsidRPr="002B6C66">
        <w:rPr>
          <w:rFonts w:ascii="Times New Roman" w:hAnsi="Times New Roman"/>
          <w:color w:val="000000"/>
          <w:szCs w:val="24"/>
        </w:rPr>
        <w:t>§</w:t>
      </w:r>
      <w:r>
        <w:rPr>
          <w:rFonts w:ascii="Times New Roman" w:hAnsi="Times New Roman"/>
          <w:color w:val="000000"/>
          <w:szCs w:val="24"/>
        </w:rPr>
        <w:t xml:space="preserve"> 23.501(a).</w:t>
      </w:r>
    </w:p>
  </w:footnote>
  <w:footnote w:id="9">
    <w:p w14:paraId="7B2A3227" w14:textId="77777777" w:rsidR="00A32A05" w:rsidRPr="00292192" w:rsidRDefault="00A32A05" w:rsidP="00E6253D">
      <w:pPr>
        <w:pStyle w:val="FootnoteText"/>
        <w:ind w:firstLine="0"/>
        <w:rPr>
          <w:rFonts w:ascii="Times New Roman" w:hAnsi="Times New Roman"/>
        </w:rPr>
      </w:pPr>
      <w:r w:rsidRPr="00292192">
        <w:rPr>
          <w:rStyle w:val="FootnoteReference"/>
          <w:rFonts w:ascii="Times New Roman" w:hAnsi="Times New Roman"/>
        </w:rPr>
        <w:footnoteRef/>
      </w:r>
      <w:r w:rsidRPr="00292192">
        <w:rPr>
          <w:rFonts w:ascii="Times New Roman" w:hAnsi="Times New Roman"/>
        </w:rPr>
        <w:t xml:space="preserve"> </w:t>
      </w:r>
      <w:r w:rsidR="00292192">
        <w:rPr>
          <w:rFonts w:ascii="Times New Roman" w:hAnsi="Times New Roman"/>
        </w:rPr>
        <w:t xml:space="preserve">The Commissions stated goals include: (1) </w:t>
      </w:r>
      <w:r w:rsidRPr="00292192">
        <w:rPr>
          <w:rFonts w:ascii="Times New Roman" w:hAnsi="Times New Roman"/>
        </w:rPr>
        <w:t>ensure the CFTC receives accurate, complete, and high quality data on swaps transactions for its regulatory oversight role</w:t>
      </w:r>
      <w:r w:rsidR="00292192">
        <w:rPr>
          <w:rFonts w:ascii="Times New Roman" w:hAnsi="Times New Roman"/>
        </w:rPr>
        <w:t>; (2)</w:t>
      </w:r>
      <w:r w:rsidRPr="00292192">
        <w:rPr>
          <w:rFonts w:ascii="Times New Roman" w:hAnsi="Times New Roman"/>
        </w:rPr>
        <w:t>streamline reporting, reduce messages that must be reported, and right-size the number of data elements that are reported to meet the priority use-cases of the agency</w:t>
      </w:r>
      <w:r w:rsidR="00292192">
        <w:rPr>
          <w:rFonts w:ascii="Times New Roman" w:hAnsi="Times New Roman"/>
        </w:rPr>
        <w:t>; and (3)e</w:t>
      </w:r>
      <w:r w:rsidRPr="00292192">
        <w:rPr>
          <w:rFonts w:ascii="Times New Roman" w:hAnsi="Times New Roman"/>
        </w:rPr>
        <w:t>valuate Parts 43, 45, and 49 of Commission Regulations to identify provisions that need updating or changing to meet these goals and clarify obligations for reporting counterparties and SDRs.</w:t>
      </w:r>
    </w:p>
  </w:footnote>
  <w:footnote w:id="10">
    <w:p w14:paraId="6624A349" w14:textId="219031D3" w:rsidR="00F71933" w:rsidRPr="00E6253D" w:rsidRDefault="00F71933" w:rsidP="0057426E">
      <w:pPr>
        <w:pStyle w:val="FootnoteText"/>
        <w:ind w:firstLine="0"/>
        <w:rPr>
          <w:rFonts w:ascii="Times New Roman" w:hAnsi="Times New Roman"/>
        </w:rPr>
      </w:pPr>
      <w:r w:rsidRPr="00E6253D">
        <w:rPr>
          <w:rStyle w:val="FootnoteReference"/>
          <w:rFonts w:ascii="Times New Roman" w:hAnsi="Times New Roman"/>
        </w:rPr>
        <w:footnoteRef/>
      </w:r>
      <w:r w:rsidRPr="00E6253D">
        <w:rPr>
          <w:rFonts w:ascii="Times New Roman" w:hAnsi="Times New Roman"/>
        </w:rPr>
        <w:t xml:space="preserve"> For consistency purposes, the SDRs request that the Commission utilize the term unique transaction identifier rather than unique swap identifier.   </w:t>
      </w:r>
    </w:p>
  </w:footnote>
  <w:footnote w:id="11">
    <w:p w14:paraId="1CD2FE7A" w14:textId="4127C69F" w:rsidR="004D0D34" w:rsidRPr="003337AF" w:rsidRDefault="004D0D34" w:rsidP="00E6253D">
      <w:pPr>
        <w:pStyle w:val="CommentText"/>
        <w:spacing w:after="240"/>
        <w:rPr>
          <w:rFonts w:ascii="Times New Roman" w:hAnsi="Times New Roman"/>
          <w:sz w:val="24"/>
          <w:szCs w:val="24"/>
        </w:rPr>
      </w:pPr>
      <w:r w:rsidRPr="003337AF">
        <w:rPr>
          <w:rStyle w:val="FootnoteReference"/>
          <w:rFonts w:ascii="Times New Roman" w:hAnsi="Times New Roman"/>
          <w:sz w:val="24"/>
          <w:szCs w:val="24"/>
        </w:rPr>
        <w:footnoteRef/>
      </w:r>
      <w:r w:rsidRPr="003337AF">
        <w:rPr>
          <w:rFonts w:ascii="Times New Roman" w:hAnsi="Times New Roman"/>
          <w:sz w:val="24"/>
          <w:szCs w:val="24"/>
        </w:rPr>
        <w:t xml:space="preserve"> This requirement, under §§ 45.10(c)(2) – (3) that SDRs transmit USIs as soon as technologically practicable</w:t>
      </w:r>
      <w:r w:rsidR="00886150">
        <w:rPr>
          <w:rFonts w:ascii="Times New Roman" w:hAnsi="Times New Roman"/>
          <w:sz w:val="24"/>
          <w:szCs w:val="24"/>
        </w:rPr>
        <w:t xml:space="preserve"> (“ASATP”)</w:t>
      </w:r>
      <w:r w:rsidRPr="003337AF">
        <w:rPr>
          <w:rFonts w:ascii="Times New Roman" w:hAnsi="Times New Roman"/>
          <w:sz w:val="24"/>
          <w:szCs w:val="24"/>
        </w:rPr>
        <w:t xml:space="preserve"> after creation of the USI to both reporting and non-reporting counterparty for off-facility and bilateral swaps executed between two non-SDs or non-MSPs, is especially problematic because the SDRs may not have a relationship with non-reporting counterparties to transmit to them the USI.  This is like the challenge related to § 49.11(b) identified in Section </w:t>
      </w:r>
      <w:proofErr w:type="spellStart"/>
      <w:r w:rsidRPr="003337AF">
        <w:rPr>
          <w:rFonts w:ascii="Times New Roman" w:hAnsi="Times New Roman"/>
          <w:sz w:val="24"/>
          <w:szCs w:val="24"/>
        </w:rPr>
        <w:t>II.b</w:t>
      </w:r>
      <w:proofErr w:type="spellEnd"/>
      <w:r w:rsidRPr="003337AF">
        <w:rPr>
          <w:rFonts w:ascii="Times New Roman" w:hAnsi="Times New Roman"/>
          <w:sz w:val="24"/>
          <w:szCs w:val="24"/>
        </w:rPr>
        <w:t xml:space="preserve"> of this letter. </w:t>
      </w:r>
    </w:p>
  </w:footnote>
  <w:footnote w:id="12">
    <w:p w14:paraId="65794EFB" w14:textId="77777777" w:rsidR="004D0D34" w:rsidRPr="003337AF" w:rsidRDefault="004D0D34" w:rsidP="003337AF">
      <w:pPr>
        <w:pStyle w:val="FootnoteText"/>
        <w:ind w:firstLine="0"/>
        <w:rPr>
          <w:sz w:val="22"/>
        </w:rPr>
      </w:pPr>
      <w:r w:rsidRPr="003337AF">
        <w:rPr>
          <w:rStyle w:val="FootnoteReference"/>
          <w:rFonts w:ascii="Times New Roman" w:hAnsi="Times New Roman"/>
          <w:szCs w:val="24"/>
        </w:rPr>
        <w:footnoteRef/>
      </w:r>
      <w:r w:rsidRPr="003337AF">
        <w:rPr>
          <w:rFonts w:ascii="Times New Roman" w:hAnsi="Times New Roman"/>
          <w:szCs w:val="24"/>
        </w:rPr>
        <w:t xml:space="preserve"> Additionally, because swap counterparties have </w:t>
      </w:r>
      <w:proofErr w:type="gramStart"/>
      <w:r w:rsidRPr="003337AF">
        <w:rPr>
          <w:rFonts w:ascii="Times New Roman" w:hAnsi="Times New Roman"/>
          <w:szCs w:val="24"/>
        </w:rPr>
        <w:t>entered into a</w:t>
      </w:r>
      <w:proofErr w:type="gramEnd"/>
      <w:r w:rsidRPr="003337AF">
        <w:rPr>
          <w:rFonts w:ascii="Times New Roman" w:hAnsi="Times New Roman"/>
          <w:szCs w:val="24"/>
        </w:rPr>
        <w:t xml:space="preserve"> legally binding commercial relationship, they are best suited to send information to one another, rather than requiring SDRs to transmit information to counterparties with which they have no relationship.</w:t>
      </w:r>
    </w:p>
  </w:footnote>
  <w:footnote w:id="13">
    <w:p w14:paraId="75373333" w14:textId="549DF227" w:rsidR="007B2F77" w:rsidRPr="00E6253D" w:rsidRDefault="00681663" w:rsidP="00E6253D">
      <w:pPr>
        <w:pStyle w:val="FootnoteText"/>
        <w:ind w:firstLine="0"/>
        <w:rPr>
          <w:rFonts w:ascii="Times New Roman" w:hAnsi="Times New Roman"/>
          <w:color w:val="000000"/>
          <w:szCs w:val="24"/>
          <w:shd w:val="clear" w:color="auto" w:fill="FFFFFF"/>
        </w:rPr>
      </w:pPr>
      <w:r w:rsidRPr="00E6253D">
        <w:rPr>
          <w:rStyle w:val="FootnoteReference"/>
          <w:rFonts w:ascii="Times New Roman" w:hAnsi="Times New Roman"/>
          <w:szCs w:val="24"/>
        </w:rPr>
        <w:footnoteRef/>
      </w:r>
      <w:r w:rsidRPr="00E6253D">
        <w:rPr>
          <w:rFonts w:ascii="Times New Roman" w:hAnsi="Times New Roman"/>
          <w:szCs w:val="24"/>
        </w:rPr>
        <w:t xml:space="preserve"> </w:t>
      </w:r>
      <w:r w:rsidR="007B2F77" w:rsidRPr="007B2F77">
        <w:rPr>
          <w:rFonts w:ascii="Times New Roman" w:hAnsi="Times New Roman"/>
          <w:b/>
          <w:color w:val="000000"/>
          <w:szCs w:val="24"/>
          <w:shd w:val="clear" w:color="auto" w:fill="FFFFFF"/>
        </w:rPr>
        <w:t xml:space="preserve"> </w:t>
      </w:r>
      <w:r w:rsidR="007B2F77" w:rsidRPr="00E6253D">
        <w:rPr>
          <w:rFonts w:ascii="Times New Roman" w:hAnsi="Times New Roman"/>
          <w:color w:val="000000"/>
          <w:szCs w:val="24"/>
          <w:shd w:val="clear" w:color="auto" w:fill="FFFFFF"/>
        </w:rPr>
        <w:t>Counterparties are required to confirm within the following timeframes:</w:t>
      </w:r>
    </w:p>
    <w:p w14:paraId="416E15BC" w14:textId="3362A369" w:rsidR="007B2F77" w:rsidRDefault="007B2F77" w:rsidP="007B2F77">
      <w:pPr>
        <w:pStyle w:val="FootnoteText"/>
        <w:numPr>
          <w:ilvl w:val="0"/>
          <w:numId w:val="11"/>
        </w:numPr>
        <w:rPr>
          <w:rFonts w:ascii="Times New Roman" w:hAnsi="Times New Roman"/>
          <w:szCs w:val="24"/>
        </w:rPr>
      </w:pPr>
      <w:r w:rsidRPr="002802EA">
        <w:rPr>
          <w:rFonts w:ascii="Times New Roman" w:hAnsi="Times New Roman"/>
          <w:b/>
          <w:color w:val="000000"/>
          <w:szCs w:val="24"/>
          <w:shd w:val="clear" w:color="auto" w:fill="FFFFFF"/>
        </w:rPr>
        <w:t>Swaps between SDs/MSPs and SDs/MSPs</w:t>
      </w:r>
      <w:r>
        <w:rPr>
          <w:rFonts w:ascii="Times New Roman" w:hAnsi="Times New Roman"/>
          <w:color w:val="000000"/>
          <w:szCs w:val="24"/>
          <w:shd w:val="clear" w:color="auto" w:fill="FFFFFF"/>
        </w:rPr>
        <w:t xml:space="preserve">: the reporting counterparty SD/MSP must execute a confirmation ASATP, but no later than the end of the first business day following the day of execution. </w:t>
      </w:r>
      <w:r w:rsidRPr="00EB2BAF">
        <w:rPr>
          <w:rFonts w:ascii="Times New Roman" w:hAnsi="Times New Roman"/>
          <w:i/>
          <w:color w:val="000000"/>
          <w:szCs w:val="24"/>
          <w:shd w:val="clear" w:color="auto" w:fill="FFFFFF"/>
        </w:rPr>
        <w:t>See</w:t>
      </w:r>
      <w:r>
        <w:rPr>
          <w:rFonts w:ascii="Times New Roman" w:hAnsi="Times New Roman"/>
          <w:color w:val="000000"/>
          <w:szCs w:val="24"/>
          <w:shd w:val="clear" w:color="auto" w:fill="FFFFFF"/>
        </w:rPr>
        <w:t xml:space="preserve"> 17 C.F.R § </w:t>
      </w:r>
      <w:r w:rsidRPr="00B72485">
        <w:rPr>
          <w:rFonts w:ascii="Times New Roman" w:hAnsi="Times New Roman"/>
          <w:szCs w:val="24"/>
        </w:rPr>
        <w:t>23.501(a)(1)</w:t>
      </w:r>
      <w:r>
        <w:rPr>
          <w:rFonts w:ascii="Times New Roman" w:hAnsi="Times New Roman"/>
          <w:szCs w:val="24"/>
        </w:rPr>
        <w:t>.</w:t>
      </w:r>
    </w:p>
    <w:p w14:paraId="37449DD8" w14:textId="77777777" w:rsidR="007B2F77" w:rsidRDefault="007B2F77" w:rsidP="007B2F77">
      <w:pPr>
        <w:pStyle w:val="FootnoteText"/>
        <w:numPr>
          <w:ilvl w:val="0"/>
          <w:numId w:val="11"/>
        </w:numPr>
        <w:rPr>
          <w:rFonts w:ascii="Times New Roman" w:hAnsi="Times New Roman"/>
          <w:szCs w:val="24"/>
        </w:rPr>
      </w:pPr>
      <w:r w:rsidRPr="002802EA">
        <w:rPr>
          <w:rFonts w:ascii="Times New Roman" w:hAnsi="Times New Roman"/>
          <w:b/>
          <w:szCs w:val="24"/>
        </w:rPr>
        <w:t>Swaps between SDs/MSPs and FE:</w:t>
      </w:r>
      <w:r>
        <w:rPr>
          <w:rFonts w:ascii="Times New Roman" w:hAnsi="Times New Roman"/>
          <w:szCs w:val="24"/>
        </w:rPr>
        <w:t xml:space="preserve"> SD/MSP must execute a confirmation ASATP, </w:t>
      </w:r>
      <w:r>
        <w:rPr>
          <w:rFonts w:ascii="Times New Roman" w:hAnsi="Times New Roman"/>
          <w:color w:val="000000"/>
          <w:szCs w:val="24"/>
          <w:shd w:val="clear" w:color="auto" w:fill="FFFFFF"/>
        </w:rPr>
        <w:t xml:space="preserve">but no later than the end of the first business day following the day of execution. </w:t>
      </w:r>
      <w:r w:rsidRPr="00EB2BAF">
        <w:rPr>
          <w:rFonts w:ascii="Times New Roman" w:hAnsi="Times New Roman"/>
          <w:i/>
          <w:color w:val="000000"/>
          <w:szCs w:val="24"/>
          <w:shd w:val="clear" w:color="auto" w:fill="FFFFFF"/>
        </w:rPr>
        <w:t>See</w:t>
      </w:r>
      <w:r>
        <w:rPr>
          <w:rFonts w:ascii="Times New Roman" w:hAnsi="Times New Roman"/>
          <w:color w:val="000000"/>
          <w:szCs w:val="24"/>
          <w:shd w:val="clear" w:color="auto" w:fill="FFFFFF"/>
        </w:rPr>
        <w:t xml:space="preserve"> 17 C.F.R § </w:t>
      </w:r>
      <w:r w:rsidRPr="00B72485">
        <w:rPr>
          <w:rFonts w:ascii="Times New Roman" w:hAnsi="Times New Roman"/>
          <w:szCs w:val="24"/>
        </w:rPr>
        <w:t>23.501(a)(</w:t>
      </w:r>
      <w:r>
        <w:rPr>
          <w:rFonts w:ascii="Times New Roman" w:hAnsi="Times New Roman"/>
          <w:szCs w:val="24"/>
        </w:rPr>
        <w:t>3</w:t>
      </w:r>
      <w:r w:rsidRPr="00B72485">
        <w:rPr>
          <w:rFonts w:ascii="Times New Roman" w:hAnsi="Times New Roman"/>
          <w:szCs w:val="24"/>
        </w:rPr>
        <w:t>)</w:t>
      </w:r>
      <w:r>
        <w:rPr>
          <w:rFonts w:ascii="Times New Roman" w:hAnsi="Times New Roman"/>
          <w:szCs w:val="24"/>
        </w:rPr>
        <w:t>(</w:t>
      </w:r>
      <w:proofErr w:type="spellStart"/>
      <w:r>
        <w:rPr>
          <w:rFonts w:ascii="Times New Roman" w:hAnsi="Times New Roman"/>
          <w:szCs w:val="24"/>
        </w:rPr>
        <w:t>i</w:t>
      </w:r>
      <w:proofErr w:type="spellEnd"/>
      <w:r>
        <w:rPr>
          <w:rFonts w:ascii="Times New Roman" w:hAnsi="Times New Roman"/>
          <w:szCs w:val="24"/>
        </w:rPr>
        <w:t>).</w:t>
      </w:r>
    </w:p>
    <w:p w14:paraId="5E684B6C" w14:textId="77777777" w:rsidR="007B2F77" w:rsidRDefault="007B2F77" w:rsidP="007B2F77">
      <w:pPr>
        <w:pStyle w:val="FootnoteText"/>
        <w:numPr>
          <w:ilvl w:val="0"/>
          <w:numId w:val="11"/>
        </w:numPr>
        <w:rPr>
          <w:rFonts w:ascii="Times New Roman" w:hAnsi="Times New Roman"/>
          <w:szCs w:val="24"/>
        </w:rPr>
      </w:pPr>
      <w:r>
        <w:rPr>
          <w:rFonts w:ascii="Times New Roman" w:hAnsi="Times New Roman"/>
          <w:szCs w:val="24"/>
        </w:rPr>
        <w:t xml:space="preserve">DCOs must confirm all terms at the same time the swap is accepted for clearing. </w:t>
      </w:r>
      <w:r w:rsidRPr="00EB2BAF">
        <w:rPr>
          <w:rFonts w:ascii="Times New Roman" w:hAnsi="Times New Roman"/>
          <w:i/>
          <w:color w:val="000000"/>
          <w:szCs w:val="24"/>
          <w:shd w:val="clear" w:color="auto" w:fill="FFFFFF"/>
        </w:rPr>
        <w:t>See</w:t>
      </w:r>
      <w:r>
        <w:rPr>
          <w:rFonts w:ascii="Times New Roman" w:hAnsi="Times New Roman"/>
          <w:color w:val="000000"/>
          <w:szCs w:val="24"/>
          <w:shd w:val="clear" w:color="auto" w:fill="FFFFFF"/>
        </w:rPr>
        <w:t xml:space="preserve"> 17 C.F.R § </w:t>
      </w:r>
      <w:r>
        <w:rPr>
          <w:rFonts w:ascii="Times New Roman" w:hAnsi="Times New Roman"/>
          <w:szCs w:val="24"/>
        </w:rPr>
        <w:t>39.12(b</w:t>
      </w:r>
      <w:r w:rsidRPr="00B72485">
        <w:rPr>
          <w:rFonts w:ascii="Times New Roman" w:hAnsi="Times New Roman"/>
          <w:szCs w:val="24"/>
        </w:rPr>
        <w:t>)(</w:t>
      </w:r>
      <w:r>
        <w:rPr>
          <w:rFonts w:ascii="Times New Roman" w:hAnsi="Times New Roman"/>
          <w:szCs w:val="24"/>
        </w:rPr>
        <w:t>8</w:t>
      </w:r>
      <w:r w:rsidRPr="00B72485">
        <w:rPr>
          <w:rFonts w:ascii="Times New Roman" w:hAnsi="Times New Roman"/>
          <w:szCs w:val="24"/>
        </w:rPr>
        <w:t>)</w:t>
      </w:r>
      <w:r>
        <w:rPr>
          <w:rFonts w:ascii="Times New Roman" w:hAnsi="Times New Roman"/>
          <w:szCs w:val="24"/>
        </w:rPr>
        <w:t>.</w:t>
      </w:r>
    </w:p>
    <w:p w14:paraId="622253E9" w14:textId="77777777" w:rsidR="007B2F77" w:rsidRDefault="007B2F77" w:rsidP="007B2F77">
      <w:pPr>
        <w:pStyle w:val="FootnoteText"/>
        <w:numPr>
          <w:ilvl w:val="0"/>
          <w:numId w:val="11"/>
        </w:numPr>
        <w:rPr>
          <w:rFonts w:ascii="Times New Roman" w:hAnsi="Times New Roman"/>
          <w:szCs w:val="24"/>
        </w:rPr>
      </w:pPr>
      <w:r w:rsidRPr="002802EA">
        <w:rPr>
          <w:rFonts w:ascii="Times New Roman" w:hAnsi="Times New Roman"/>
          <w:szCs w:val="24"/>
        </w:rPr>
        <w:t>SEFs must provide each counterparty “</w:t>
      </w:r>
      <w:r w:rsidRPr="002802EA">
        <w:rPr>
          <w:rFonts w:ascii="Times New Roman" w:hAnsi="Times New Roman"/>
        </w:rPr>
        <w:t>with a written record of all of the terms of the transaction which shall legally supersede any previous agreement and serve as a confirmation</w:t>
      </w:r>
      <w:r>
        <w:rPr>
          <w:rFonts w:ascii="Times New Roman" w:hAnsi="Times New Roman"/>
        </w:rPr>
        <w:t>,</w:t>
      </w:r>
      <w:r w:rsidRPr="002802EA">
        <w:rPr>
          <w:rFonts w:ascii="Times New Roman" w:hAnsi="Times New Roman"/>
        </w:rPr>
        <w:t>” at time of execution, except in the case of bunched orders.</w:t>
      </w:r>
      <w:r>
        <w:t xml:space="preserve">  </w:t>
      </w:r>
      <w:r>
        <w:rPr>
          <w:rFonts w:ascii="Times New Roman" w:hAnsi="Times New Roman"/>
          <w:color w:val="000000"/>
          <w:szCs w:val="24"/>
          <w:shd w:val="clear" w:color="auto" w:fill="FFFFFF"/>
        </w:rPr>
        <w:t xml:space="preserve">See 17 C.F.R § </w:t>
      </w:r>
      <w:r>
        <w:rPr>
          <w:rFonts w:ascii="Times New Roman" w:hAnsi="Times New Roman"/>
          <w:szCs w:val="24"/>
        </w:rPr>
        <w:t xml:space="preserve">37.6(b).  NOTE: SEFs are generating confirmations despite no-action relief alleviating SEFs from the requirement to obtain and maintain copies of the underlying previously-negotiated agreements between counterparties to </w:t>
      </w:r>
      <w:proofErr w:type="spellStart"/>
      <w:r>
        <w:rPr>
          <w:rFonts w:ascii="Times New Roman" w:hAnsi="Times New Roman"/>
          <w:szCs w:val="24"/>
        </w:rPr>
        <w:t>uncleared</w:t>
      </w:r>
      <w:proofErr w:type="spellEnd"/>
      <w:r>
        <w:rPr>
          <w:rFonts w:ascii="Times New Roman" w:hAnsi="Times New Roman"/>
          <w:szCs w:val="24"/>
        </w:rPr>
        <w:t xml:space="preserve"> transactions, before incorporating such agreements by reference in the trade confirmation as required by </w:t>
      </w:r>
      <w:r>
        <w:rPr>
          <w:rFonts w:ascii="Times New Roman" w:hAnsi="Times New Roman"/>
          <w:color w:val="000000"/>
          <w:szCs w:val="24"/>
          <w:shd w:val="clear" w:color="auto" w:fill="FFFFFF"/>
        </w:rPr>
        <w:t xml:space="preserve">§ </w:t>
      </w:r>
      <w:r>
        <w:rPr>
          <w:rFonts w:ascii="Times New Roman" w:hAnsi="Times New Roman"/>
          <w:szCs w:val="24"/>
        </w:rPr>
        <w:t xml:space="preserve">37.6(b). </w:t>
      </w:r>
      <w:r w:rsidRPr="00EB2BAF">
        <w:rPr>
          <w:rFonts w:ascii="Times New Roman" w:hAnsi="Times New Roman"/>
          <w:i/>
          <w:szCs w:val="24"/>
        </w:rPr>
        <w:t>See</w:t>
      </w:r>
      <w:r>
        <w:rPr>
          <w:rFonts w:ascii="Times New Roman" w:hAnsi="Times New Roman"/>
          <w:szCs w:val="24"/>
        </w:rPr>
        <w:t xml:space="preserve"> CFTC Letter 17-17.</w:t>
      </w:r>
    </w:p>
    <w:p w14:paraId="4D543924" w14:textId="63642029" w:rsidR="00681663" w:rsidRPr="00E6253D" w:rsidRDefault="00681663" w:rsidP="0057426E">
      <w:pPr>
        <w:pStyle w:val="FootnoteText"/>
        <w:ind w:firstLine="0"/>
        <w:rPr>
          <w:rFonts w:ascii="Times New Roman" w:hAnsi="Times New Roman"/>
          <w:szCs w:val="24"/>
        </w:rPr>
      </w:pPr>
    </w:p>
  </w:footnote>
  <w:footnote w:id="14">
    <w:p w14:paraId="15F8A190" w14:textId="52CB3311" w:rsidR="00FE3045" w:rsidRPr="00E6253D" w:rsidRDefault="00FE3045" w:rsidP="00E6253D">
      <w:pPr>
        <w:pStyle w:val="FootnoteText"/>
        <w:ind w:firstLine="0"/>
        <w:rPr>
          <w:rFonts w:ascii="Times New Roman" w:hAnsi="Times New Roman"/>
        </w:rPr>
      </w:pPr>
      <w:r w:rsidRPr="00E6253D">
        <w:rPr>
          <w:rStyle w:val="FootnoteReference"/>
          <w:rFonts w:ascii="Times New Roman" w:hAnsi="Times New Roman"/>
        </w:rPr>
        <w:footnoteRef/>
      </w:r>
      <w:r w:rsidRPr="00E6253D">
        <w:rPr>
          <w:rFonts w:ascii="Times New Roman" w:hAnsi="Times New Roman"/>
        </w:rPr>
        <w:t xml:space="preserve"> For package trades and shaped trades, within the commodity asset class, a counterparty often trades an OTC calendar year, or a longer-term swap with a varying price, quantity, and/or many other terms that are applied to specific portions of the term, such as the hour, day, month, or year.  </w:t>
      </w:r>
    </w:p>
  </w:footnote>
  <w:footnote w:id="15">
    <w:p w14:paraId="1C8E0859" w14:textId="77777777" w:rsidR="004D0D34" w:rsidRDefault="004D0D34" w:rsidP="00D939E3">
      <w:pPr>
        <w:pStyle w:val="FootnoteText"/>
        <w:ind w:firstLine="0"/>
      </w:pPr>
      <w:r w:rsidRPr="00E1163F">
        <w:rPr>
          <w:rStyle w:val="FootnoteReference"/>
          <w:rFonts w:ascii="Times New Roman" w:hAnsi="Times New Roman"/>
        </w:rPr>
        <w:footnoteRef/>
      </w:r>
      <w:r w:rsidRPr="00D939E3">
        <w:rPr>
          <w:rFonts w:ascii="Times New Roman" w:hAnsi="Times New Roman"/>
          <w:sz w:val="22"/>
        </w:rPr>
        <w:t xml:space="preserve"> </w:t>
      </w:r>
      <w:r w:rsidRPr="00E1163F">
        <w:rPr>
          <w:rFonts w:ascii="Times New Roman" w:hAnsi="Times New Roman"/>
          <w:i/>
        </w:rPr>
        <w:t>See</w:t>
      </w:r>
      <w:r w:rsidRPr="00E1163F">
        <w:rPr>
          <w:rFonts w:ascii="Times New Roman" w:hAnsi="Times New Roman"/>
        </w:rPr>
        <w:t xml:space="preserve"> 17 C.F.R. </w:t>
      </w:r>
      <w:r w:rsidRPr="00E1163F">
        <w:rPr>
          <w:rFonts w:ascii="Times New Roman" w:hAnsi="Times New Roman"/>
          <w:color w:val="000000"/>
          <w:szCs w:val="24"/>
        </w:rPr>
        <w:t xml:space="preserve">§ 49.13 and § 49.15, respectively. </w:t>
      </w:r>
    </w:p>
  </w:footnote>
  <w:footnote w:id="16">
    <w:p w14:paraId="0FE30B23" w14:textId="77777777" w:rsidR="004D0D34" w:rsidRPr="00513468" w:rsidRDefault="004D0D34" w:rsidP="00E91322">
      <w:pPr>
        <w:pStyle w:val="FootnoteText"/>
        <w:ind w:firstLine="0"/>
        <w:rPr>
          <w:rFonts w:ascii="Times New Roman" w:hAnsi="Times New Roman"/>
        </w:rPr>
      </w:pPr>
      <w:r w:rsidRPr="00513468">
        <w:rPr>
          <w:rStyle w:val="FootnoteReference"/>
          <w:rFonts w:ascii="Times New Roman" w:hAnsi="Times New Roman"/>
        </w:rPr>
        <w:footnoteRef/>
      </w:r>
      <w:r w:rsidRPr="00513468">
        <w:rPr>
          <w:rFonts w:ascii="Times New Roman" w:hAnsi="Times New Roman"/>
        </w:rPr>
        <w:t xml:space="preserve"> For swap execution facilities</w:t>
      </w:r>
      <w:r>
        <w:rPr>
          <w:rFonts w:ascii="Times New Roman" w:hAnsi="Times New Roman"/>
        </w:rPr>
        <w:t xml:space="preserve"> (“SEF”)</w:t>
      </w:r>
      <w:r w:rsidRPr="00513468">
        <w:rPr>
          <w:rFonts w:ascii="Times New Roman" w:hAnsi="Times New Roman"/>
        </w:rPr>
        <w:t>, § 37.1401(e)</w:t>
      </w:r>
      <w:r>
        <w:rPr>
          <w:rFonts w:ascii="Times New Roman" w:hAnsi="Times New Roman"/>
        </w:rPr>
        <w:t>(1) requires that a SEF must notify the Commission of all “[e]</w:t>
      </w:r>
      <w:proofErr w:type="spellStart"/>
      <w:r>
        <w:rPr>
          <w:rFonts w:ascii="Times New Roman" w:hAnsi="Times New Roman"/>
        </w:rPr>
        <w:t>lectronic</w:t>
      </w:r>
      <w:proofErr w:type="spellEnd"/>
      <w:r>
        <w:rPr>
          <w:rFonts w:ascii="Times New Roman" w:hAnsi="Times New Roman"/>
        </w:rPr>
        <w:t xml:space="preserve"> trading halts and material system malfunctions.”</w:t>
      </w:r>
      <w:r w:rsidRPr="00513468">
        <w:rPr>
          <w:rFonts w:ascii="Times New Roman" w:hAnsi="Times New Roman"/>
        </w:rPr>
        <w:t xml:space="preserve">  </w:t>
      </w:r>
      <w:r>
        <w:rPr>
          <w:rFonts w:ascii="Times New Roman" w:hAnsi="Times New Roman"/>
        </w:rPr>
        <w:t>Similarly, f</w:t>
      </w:r>
      <w:r w:rsidRPr="00513468">
        <w:rPr>
          <w:rFonts w:ascii="Times New Roman" w:hAnsi="Times New Roman"/>
        </w:rPr>
        <w:t>or designated contract markets</w:t>
      </w:r>
      <w:r>
        <w:rPr>
          <w:rFonts w:ascii="Times New Roman" w:hAnsi="Times New Roman"/>
        </w:rPr>
        <w:t xml:space="preserve"> (“DCM”)</w:t>
      </w:r>
      <w:r w:rsidRPr="00513468">
        <w:rPr>
          <w:rFonts w:ascii="Times New Roman" w:hAnsi="Times New Roman"/>
        </w:rPr>
        <w:t>, § 38.1051(e)</w:t>
      </w:r>
      <w:r>
        <w:rPr>
          <w:rFonts w:ascii="Times New Roman" w:hAnsi="Times New Roman"/>
        </w:rPr>
        <w:t>(1)</w:t>
      </w:r>
      <w:r w:rsidRPr="00513468">
        <w:rPr>
          <w:rFonts w:ascii="Times New Roman" w:hAnsi="Times New Roman"/>
        </w:rPr>
        <w:t xml:space="preserve"> </w:t>
      </w:r>
      <w:r>
        <w:rPr>
          <w:rFonts w:ascii="Times New Roman" w:hAnsi="Times New Roman"/>
        </w:rPr>
        <w:t>requires that a DCM notify the Commission of all “[e]</w:t>
      </w:r>
      <w:proofErr w:type="spellStart"/>
      <w:r>
        <w:rPr>
          <w:rFonts w:ascii="Times New Roman" w:hAnsi="Times New Roman"/>
        </w:rPr>
        <w:t>lectronic</w:t>
      </w:r>
      <w:proofErr w:type="spellEnd"/>
      <w:r>
        <w:rPr>
          <w:rFonts w:ascii="Times New Roman" w:hAnsi="Times New Roman"/>
        </w:rPr>
        <w:t xml:space="preserve"> trading halts and material system malfunctions.”  F</w:t>
      </w:r>
      <w:r w:rsidRPr="00513468">
        <w:rPr>
          <w:rFonts w:ascii="Times New Roman" w:hAnsi="Times New Roman"/>
        </w:rPr>
        <w:t>inally, § 39.18(g)</w:t>
      </w:r>
      <w:r>
        <w:rPr>
          <w:rFonts w:ascii="Times New Roman" w:hAnsi="Times New Roman"/>
        </w:rPr>
        <w:t>(1) requires that a DCO notify the Commission of “[a]</w:t>
      </w:r>
      <w:proofErr w:type="spellStart"/>
      <w:r>
        <w:rPr>
          <w:rFonts w:ascii="Times New Roman" w:hAnsi="Times New Roman"/>
        </w:rPr>
        <w:t>ny</w:t>
      </w:r>
      <w:proofErr w:type="spellEnd"/>
      <w:r>
        <w:rPr>
          <w:rFonts w:ascii="Times New Roman" w:hAnsi="Times New Roman"/>
        </w:rPr>
        <w:t xml:space="preserve"> hardware or software malfunction, security incident, or targeted threat that materially impairs, or creates a significant likelihood of material impairment, of automated system operation, reliability, security or capacity.”</w:t>
      </w:r>
    </w:p>
  </w:footnote>
  <w:footnote w:id="17">
    <w:p w14:paraId="767E1A11" w14:textId="796AD872" w:rsidR="00221CC5" w:rsidRPr="000D4F73" w:rsidRDefault="00221CC5" w:rsidP="00221CC5">
      <w:pPr>
        <w:pStyle w:val="FootnoteText"/>
        <w:ind w:firstLine="0"/>
        <w:rPr>
          <w:rFonts w:ascii="Times New Roman" w:hAnsi="Times New Roman"/>
          <w:szCs w:val="24"/>
        </w:rPr>
      </w:pPr>
      <w:r w:rsidRPr="00E6253D">
        <w:rPr>
          <w:rStyle w:val="FootnoteReference"/>
          <w:rFonts w:ascii="Times New Roman" w:hAnsi="Times New Roman"/>
          <w:szCs w:val="24"/>
        </w:rPr>
        <w:footnoteRef/>
      </w:r>
      <w:r w:rsidRPr="00E6253D">
        <w:rPr>
          <w:rFonts w:ascii="Times New Roman" w:hAnsi="Times New Roman"/>
          <w:szCs w:val="24"/>
        </w:rPr>
        <w:t xml:space="preserve"> </w:t>
      </w:r>
      <w:r w:rsidRPr="00E6253D">
        <w:rPr>
          <w:rFonts w:ascii="Times New Roman" w:hAnsi="Times New Roman"/>
          <w:i/>
          <w:iCs/>
          <w:szCs w:val="24"/>
        </w:rPr>
        <w:t xml:space="preserve">See </w:t>
      </w:r>
      <w:r w:rsidRPr="00E6253D">
        <w:rPr>
          <w:rFonts w:ascii="Times New Roman" w:hAnsi="Times New Roman"/>
          <w:szCs w:val="24"/>
        </w:rPr>
        <w:t>17 C.F.R. § 39.15(d) Transfer of customer positions.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F6E3" w14:textId="4947F20E" w:rsidR="004D0D34" w:rsidRPr="00EB2BAF" w:rsidRDefault="005F44AF" w:rsidP="00EB2BAF">
    <w:r>
      <w:rPr>
        <w:noProof/>
      </w:rPr>
      <w:drawing>
        <wp:anchor distT="0" distB="0" distL="114300" distR="114300" simplePos="0" relativeHeight="251659264" behindDoc="0" locked="0" layoutInCell="1" allowOverlap="1" wp14:anchorId="775008F9" wp14:editId="2B1088BF">
          <wp:simplePos x="0" y="0"/>
          <wp:positionH relativeFrom="column">
            <wp:posOffset>2291715</wp:posOffset>
          </wp:positionH>
          <wp:positionV relativeFrom="paragraph">
            <wp:posOffset>140433</wp:posOffset>
          </wp:positionV>
          <wp:extent cx="1968500" cy="342900"/>
          <wp:effectExtent l="0" t="0" r="0" b="0"/>
          <wp:wrapNone/>
          <wp:docPr id="1" name="Picture 1" descr="2c 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c Letterh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397">
      <w:rPr>
        <w:noProof/>
      </w:rPr>
      <w:drawing>
        <wp:inline distT="0" distB="0" distL="0" distR="0" wp14:anchorId="1E37A14E" wp14:editId="5733E24F">
          <wp:extent cx="16859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5925" cy="457200"/>
                  </a:xfrm>
                  <a:prstGeom prst="rect">
                    <a:avLst/>
                  </a:prstGeom>
                </pic:spPr>
              </pic:pic>
            </a:graphicData>
          </a:graphic>
        </wp:inline>
      </w:drawing>
    </w:r>
    <w:r w:rsidR="001B4397">
      <w:rPr>
        <w:rFonts w:ascii="Helvetica" w:eastAsia="Times New Roman" w:hAnsi="Helvetica"/>
        <w:b/>
        <w:noProof/>
        <w:color w:val="1F497D"/>
        <w:sz w:val="28"/>
        <w:szCs w:val="28"/>
      </w:rPr>
      <w:t xml:space="preserve">    </w:t>
    </w:r>
    <w:r w:rsidR="002E5E7B">
      <w:rPr>
        <w:rFonts w:ascii="Helvetica" w:eastAsia="Times New Roman" w:hAnsi="Helvetica"/>
        <w:b/>
        <w:noProof/>
        <w:color w:val="1F497D"/>
        <w:sz w:val="28"/>
        <w:szCs w:val="28"/>
      </w:rPr>
      <w:t xml:space="preserve">     </w:t>
    </w:r>
    <w:r w:rsidR="001B4397">
      <w:rPr>
        <w:rFonts w:ascii="Helvetica" w:eastAsia="Times New Roman" w:hAnsi="Helvetica"/>
        <w:b/>
        <w:noProof/>
        <w:color w:val="1F497D"/>
        <w:sz w:val="28"/>
        <w:szCs w:val="28"/>
      </w:rPr>
      <w:t xml:space="preserve">   </w:t>
    </w:r>
    <w:r w:rsidR="002E5E7B">
      <w:rPr>
        <w:rFonts w:ascii="Helvetica" w:eastAsia="Times New Roman" w:hAnsi="Helvetica"/>
        <w:b/>
        <w:noProof/>
        <w:color w:val="1F497D"/>
        <w:sz w:val="28"/>
        <w:szCs w:val="28"/>
      </w:rPr>
      <w:t xml:space="preserve">     </w:t>
    </w:r>
    <w:r w:rsidR="004D0D34" w:rsidRPr="00FE1163">
      <w:rPr>
        <w:rFonts w:ascii="Helvetica" w:eastAsia="Times New Roman" w:hAnsi="Helvetica"/>
        <w:b/>
        <w:noProof/>
        <w:color w:val="1F497D"/>
        <w:sz w:val="28"/>
        <w:szCs w:val="28"/>
      </w:rPr>
      <w:t xml:space="preserve">                  </w:t>
    </w:r>
    <w:r>
      <w:rPr>
        <w:rFonts w:ascii="Helvetica" w:eastAsia="Times New Roman" w:hAnsi="Helvetica"/>
        <w:b/>
        <w:noProof/>
        <w:color w:val="1F497D"/>
        <w:sz w:val="28"/>
        <w:szCs w:val="28"/>
      </w:rPr>
      <w:t xml:space="preserve">                      </w:t>
    </w:r>
    <w:r w:rsidR="004D0D34" w:rsidRPr="00FE1163">
      <w:rPr>
        <w:rFonts w:ascii="Helvetica" w:eastAsia="Times New Roman" w:hAnsi="Helvetica"/>
        <w:b/>
        <w:noProof/>
        <w:color w:val="1F497D"/>
        <w:sz w:val="28"/>
        <w:szCs w:val="28"/>
      </w:rPr>
      <w:t xml:space="preserve">         </w:t>
    </w:r>
    <w:r>
      <w:rPr>
        <w:noProof/>
      </w:rPr>
      <w:drawing>
        <wp:inline distT="0" distB="0" distL="0" distR="0" wp14:anchorId="7E67B570" wp14:editId="6BA88C6F">
          <wp:extent cx="967740" cy="563880"/>
          <wp:effectExtent l="0" t="0" r="3810" b="7620"/>
          <wp:docPr id="3" name="Picture 3" descr="ICE Trade Vault"/>
          <wp:cNvGraphicFramePr/>
          <a:graphic xmlns:a="http://schemas.openxmlformats.org/drawingml/2006/main">
            <a:graphicData uri="http://schemas.openxmlformats.org/drawingml/2006/picture">
              <pic:pic xmlns:pic="http://schemas.openxmlformats.org/drawingml/2006/picture">
                <pic:nvPicPr>
                  <pic:cNvPr id="21" name="Picture 21" descr="ICE Trade Vault"/>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774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2CB"/>
    <w:multiLevelType w:val="hybridMultilevel"/>
    <w:tmpl w:val="493ABDA8"/>
    <w:lvl w:ilvl="0" w:tplc="A96E78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459CE"/>
    <w:multiLevelType w:val="hybridMultilevel"/>
    <w:tmpl w:val="2C3E9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94C75"/>
    <w:multiLevelType w:val="hybridMultilevel"/>
    <w:tmpl w:val="38F2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1FA4AAC">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15BC3"/>
    <w:multiLevelType w:val="hybridMultilevel"/>
    <w:tmpl w:val="2FEE3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04481"/>
    <w:multiLevelType w:val="hybridMultilevel"/>
    <w:tmpl w:val="B14C43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6469E"/>
    <w:multiLevelType w:val="hybridMultilevel"/>
    <w:tmpl w:val="E2F2104A"/>
    <w:lvl w:ilvl="0" w:tplc="36F6F9CE">
      <w:numFmt w:val="bullet"/>
      <w:lvlText w:val="•"/>
      <w:lvlJc w:val="left"/>
      <w:pPr>
        <w:ind w:left="1440" w:hanging="72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CD3381"/>
    <w:multiLevelType w:val="hybridMultilevel"/>
    <w:tmpl w:val="AFF4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00463"/>
    <w:multiLevelType w:val="hybridMultilevel"/>
    <w:tmpl w:val="1592DCD6"/>
    <w:lvl w:ilvl="0" w:tplc="B23E77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43F13"/>
    <w:multiLevelType w:val="hybridMultilevel"/>
    <w:tmpl w:val="DDA20E98"/>
    <w:lvl w:ilvl="0" w:tplc="EE526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9E623D"/>
    <w:multiLevelType w:val="hybridMultilevel"/>
    <w:tmpl w:val="07BC3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615DF"/>
    <w:multiLevelType w:val="hybridMultilevel"/>
    <w:tmpl w:val="5A781C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9"/>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34"/>
    <w:rsid w:val="000244C5"/>
    <w:rsid w:val="000358FE"/>
    <w:rsid w:val="000533B4"/>
    <w:rsid w:val="000863DF"/>
    <w:rsid w:val="00086DD5"/>
    <w:rsid w:val="000A4FC4"/>
    <w:rsid w:val="000B39AD"/>
    <w:rsid w:val="000B779B"/>
    <w:rsid w:val="000D1C3B"/>
    <w:rsid w:val="000D4F73"/>
    <w:rsid w:val="000E6FFA"/>
    <w:rsid w:val="00107A81"/>
    <w:rsid w:val="00110333"/>
    <w:rsid w:val="001122AA"/>
    <w:rsid w:val="001132EB"/>
    <w:rsid w:val="00121ECD"/>
    <w:rsid w:val="00123DF1"/>
    <w:rsid w:val="00125DCD"/>
    <w:rsid w:val="001526CA"/>
    <w:rsid w:val="00152CFF"/>
    <w:rsid w:val="00165F80"/>
    <w:rsid w:val="00171992"/>
    <w:rsid w:val="001770C5"/>
    <w:rsid w:val="00190496"/>
    <w:rsid w:val="001B4397"/>
    <w:rsid w:val="001C3ACC"/>
    <w:rsid w:val="001D1B2C"/>
    <w:rsid w:val="001D2096"/>
    <w:rsid w:val="001D4E1C"/>
    <w:rsid w:val="001E2741"/>
    <w:rsid w:val="001E4B3C"/>
    <w:rsid w:val="001F1C45"/>
    <w:rsid w:val="001F4CA9"/>
    <w:rsid w:val="002004A8"/>
    <w:rsid w:val="00205AA7"/>
    <w:rsid w:val="00212C00"/>
    <w:rsid w:val="00221CC5"/>
    <w:rsid w:val="00222987"/>
    <w:rsid w:val="0022615B"/>
    <w:rsid w:val="00226E6B"/>
    <w:rsid w:val="002277B7"/>
    <w:rsid w:val="0023170C"/>
    <w:rsid w:val="0023596C"/>
    <w:rsid w:val="00247070"/>
    <w:rsid w:val="00257173"/>
    <w:rsid w:val="00263253"/>
    <w:rsid w:val="0026453E"/>
    <w:rsid w:val="00264705"/>
    <w:rsid w:val="00290635"/>
    <w:rsid w:val="00292192"/>
    <w:rsid w:val="002947D8"/>
    <w:rsid w:val="00297F08"/>
    <w:rsid w:val="002A719D"/>
    <w:rsid w:val="002B0EF7"/>
    <w:rsid w:val="002B6C66"/>
    <w:rsid w:val="002C4256"/>
    <w:rsid w:val="002C50B3"/>
    <w:rsid w:val="002D1672"/>
    <w:rsid w:val="002E5E7B"/>
    <w:rsid w:val="002E7A7A"/>
    <w:rsid w:val="002F2BE4"/>
    <w:rsid w:val="0030038C"/>
    <w:rsid w:val="00312C24"/>
    <w:rsid w:val="00324513"/>
    <w:rsid w:val="003337AF"/>
    <w:rsid w:val="00334C03"/>
    <w:rsid w:val="00334C34"/>
    <w:rsid w:val="00335599"/>
    <w:rsid w:val="00343591"/>
    <w:rsid w:val="00354CFA"/>
    <w:rsid w:val="003556B2"/>
    <w:rsid w:val="00363798"/>
    <w:rsid w:val="00382A05"/>
    <w:rsid w:val="00383F3A"/>
    <w:rsid w:val="00392DCD"/>
    <w:rsid w:val="00396283"/>
    <w:rsid w:val="003A0A4F"/>
    <w:rsid w:val="003A3015"/>
    <w:rsid w:val="003A775C"/>
    <w:rsid w:val="003D356A"/>
    <w:rsid w:val="003F48DC"/>
    <w:rsid w:val="00410345"/>
    <w:rsid w:val="004111AC"/>
    <w:rsid w:val="00432010"/>
    <w:rsid w:val="004373D7"/>
    <w:rsid w:val="00440B29"/>
    <w:rsid w:val="00443976"/>
    <w:rsid w:val="00446A46"/>
    <w:rsid w:val="00451D25"/>
    <w:rsid w:val="00452200"/>
    <w:rsid w:val="0046454D"/>
    <w:rsid w:val="00466CCC"/>
    <w:rsid w:val="004675F6"/>
    <w:rsid w:val="00476B3B"/>
    <w:rsid w:val="0048743C"/>
    <w:rsid w:val="00490ABD"/>
    <w:rsid w:val="004A4A5C"/>
    <w:rsid w:val="004A7F63"/>
    <w:rsid w:val="004D0C2D"/>
    <w:rsid w:val="004D0D34"/>
    <w:rsid w:val="004D5741"/>
    <w:rsid w:val="004E5F9F"/>
    <w:rsid w:val="005108CC"/>
    <w:rsid w:val="00513468"/>
    <w:rsid w:val="00517463"/>
    <w:rsid w:val="00525A0A"/>
    <w:rsid w:val="00527D4C"/>
    <w:rsid w:val="00530BBB"/>
    <w:rsid w:val="0053176E"/>
    <w:rsid w:val="0054532F"/>
    <w:rsid w:val="00573906"/>
    <w:rsid w:val="0057426E"/>
    <w:rsid w:val="00583BC6"/>
    <w:rsid w:val="00583E2D"/>
    <w:rsid w:val="00585870"/>
    <w:rsid w:val="005B1BFE"/>
    <w:rsid w:val="005B474B"/>
    <w:rsid w:val="005B502E"/>
    <w:rsid w:val="005B6FBD"/>
    <w:rsid w:val="005D3E1B"/>
    <w:rsid w:val="005F44AF"/>
    <w:rsid w:val="005F7ECC"/>
    <w:rsid w:val="00602133"/>
    <w:rsid w:val="00603AC5"/>
    <w:rsid w:val="00610A85"/>
    <w:rsid w:val="00610B03"/>
    <w:rsid w:val="0061304B"/>
    <w:rsid w:val="00615140"/>
    <w:rsid w:val="006225AE"/>
    <w:rsid w:val="00642F23"/>
    <w:rsid w:val="00644DB5"/>
    <w:rsid w:val="006450BA"/>
    <w:rsid w:val="00660C21"/>
    <w:rsid w:val="00680395"/>
    <w:rsid w:val="00681663"/>
    <w:rsid w:val="00687856"/>
    <w:rsid w:val="00694E94"/>
    <w:rsid w:val="006B4396"/>
    <w:rsid w:val="006B685E"/>
    <w:rsid w:val="006D0A08"/>
    <w:rsid w:val="006D472B"/>
    <w:rsid w:val="006E04CE"/>
    <w:rsid w:val="006F3B04"/>
    <w:rsid w:val="006F3C68"/>
    <w:rsid w:val="007003B1"/>
    <w:rsid w:val="007072E0"/>
    <w:rsid w:val="00711E91"/>
    <w:rsid w:val="007165CA"/>
    <w:rsid w:val="00731019"/>
    <w:rsid w:val="0074200F"/>
    <w:rsid w:val="00746DDA"/>
    <w:rsid w:val="007613FE"/>
    <w:rsid w:val="007631F5"/>
    <w:rsid w:val="00784527"/>
    <w:rsid w:val="00784971"/>
    <w:rsid w:val="0078652D"/>
    <w:rsid w:val="00787640"/>
    <w:rsid w:val="00791A8D"/>
    <w:rsid w:val="007A35C6"/>
    <w:rsid w:val="007B2F77"/>
    <w:rsid w:val="007B7E9B"/>
    <w:rsid w:val="007C0EAC"/>
    <w:rsid w:val="007D11CF"/>
    <w:rsid w:val="007D6705"/>
    <w:rsid w:val="007F10BB"/>
    <w:rsid w:val="007F2598"/>
    <w:rsid w:val="008028A0"/>
    <w:rsid w:val="00834739"/>
    <w:rsid w:val="008552E5"/>
    <w:rsid w:val="00880392"/>
    <w:rsid w:val="00886150"/>
    <w:rsid w:val="00891664"/>
    <w:rsid w:val="00894C67"/>
    <w:rsid w:val="008B5789"/>
    <w:rsid w:val="008D2388"/>
    <w:rsid w:val="008D4FDB"/>
    <w:rsid w:val="008D6DF3"/>
    <w:rsid w:val="008F596F"/>
    <w:rsid w:val="00901FD8"/>
    <w:rsid w:val="00903A80"/>
    <w:rsid w:val="009051C1"/>
    <w:rsid w:val="00906165"/>
    <w:rsid w:val="00912966"/>
    <w:rsid w:val="00926EE1"/>
    <w:rsid w:val="009327A5"/>
    <w:rsid w:val="00933732"/>
    <w:rsid w:val="00933ED9"/>
    <w:rsid w:val="00941D00"/>
    <w:rsid w:val="00951447"/>
    <w:rsid w:val="0095651E"/>
    <w:rsid w:val="00961BA2"/>
    <w:rsid w:val="00970CE9"/>
    <w:rsid w:val="00970E42"/>
    <w:rsid w:val="00971E8C"/>
    <w:rsid w:val="00976AFC"/>
    <w:rsid w:val="009779E4"/>
    <w:rsid w:val="009802CB"/>
    <w:rsid w:val="0098678F"/>
    <w:rsid w:val="00996D8F"/>
    <w:rsid w:val="009A2D7D"/>
    <w:rsid w:val="009A3864"/>
    <w:rsid w:val="009A4F76"/>
    <w:rsid w:val="009A5525"/>
    <w:rsid w:val="009A6EDA"/>
    <w:rsid w:val="009A730C"/>
    <w:rsid w:val="009B1874"/>
    <w:rsid w:val="009B3707"/>
    <w:rsid w:val="009B73D5"/>
    <w:rsid w:val="009C0FBF"/>
    <w:rsid w:val="009D175B"/>
    <w:rsid w:val="009D5B6E"/>
    <w:rsid w:val="009D7AC2"/>
    <w:rsid w:val="009F405A"/>
    <w:rsid w:val="00A057FB"/>
    <w:rsid w:val="00A0604A"/>
    <w:rsid w:val="00A30F87"/>
    <w:rsid w:val="00A31E73"/>
    <w:rsid w:val="00A32A05"/>
    <w:rsid w:val="00A378F4"/>
    <w:rsid w:val="00A42ACD"/>
    <w:rsid w:val="00A44D67"/>
    <w:rsid w:val="00A4501D"/>
    <w:rsid w:val="00A5189D"/>
    <w:rsid w:val="00A624DF"/>
    <w:rsid w:val="00A67A62"/>
    <w:rsid w:val="00A77081"/>
    <w:rsid w:val="00A8027A"/>
    <w:rsid w:val="00A92215"/>
    <w:rsid w:val="00AD15A5"/>
    <w:rsid w:val="00AD161B"/>
    <w:rsid w:val="00AD5A67"/>
    <w:rsid w:val="00AE016F"/>
    <w:rsid w:val="00AE0367"/>
    <w:rsid w:val="00AE1B4C"/>
    <w:rsid w:val="00B019E5"/>
    <w:rsid w:val="00B024B0"/>
    <w:rsid w:val="00B12E96"/>
    <w:rsid w:val="00B44D73"/>
    <w:rsid w:val="00B65497"/>
    <w:rsid w:val="00B66EDB"/>
    <w:rsid w:val="00B71183"/>
    <w:rsid w:val="00B826AD"/>
    <w:rsid w:val="00BA4A6F"/>
    <w:rsid w:val="00BD07DD"/>
    <w:rsid w:val="00BD1CDD"/>
    <w:rsid w:val="00BE214C"/>
    <w:rsid w:val="00BE7A63"/>
    <w:rsid w:val="00BF29FF"/>
    <w:rsid w:val="00BF3D1E"/>
    <w:rsid w:val="00C10C72"/>
    <w:rsid w:val="00C34382"/>
    <w:rsid w:val="00C40FC1"/>
    <w:rsid w:val="00C45334"/>
    <w:rsid w:val="00C45975"/>
    <w:rsid w:val="00C46DBC"/>
    <w:rsid w:val="00C57EE4"/>
    <w:rsid w:val="00C6398A"/>
    <w:rsid w:val="00C6621F"/>
    <w:rsid w:val="00C82B53"/>
    <w:rsid w:val="00C86F16"/>
    <w:rsid w:val="00C92AAE"/>
    <w:rsid w:val="00CB039A"/>
    <w:rsid w:val="00CB2F0F"/>
    <w:rsid w:val="00CB4837"/>
    <w:rsid w:val="00CE515D"/>
    <w:rsid w:val="00CF1635"/>
    <w:rsid w:val="00D05063"/>
    <w:rsid w:val="00D10ADC"/>
    <w:rsid w:val="00D176BD"/>
    <w:rsid w:val="00D31CF0"/>
    <w:rsid w:val="00D542BD"/>
    <w:rsid w:val="00D57163"/>
    <w:rsid w:val="00D612B1"/>
    <w:rsid w:val="00D61E3B"/>
    <w:rsid w:val="00D63A90"/>
    <w:rsid w:val="00D73369"/>
    <w:rsid w:val="00D77681"/>
    <w:rsid w:val="00D87A00"/>
    <w:rsid w:val="00D939E3"/>
    <w:rsid w:val="00DA4E36"/>
    <w:rsid w:val="00DB1D62"/>
    <w:rsid w:val="00DB5BE2"/>
    <w:rsid w:val="00DB619E"/>
    <w:rsid w:val="00DC4B58"/>
    <w:rsid w:val="00DC5FC6"/>
    <w:rsid w:val="00DD2058"/>
    <w:rsid w:val="00DF5754"/>
    <w:rsid w:val="00DF6F9E"/>
    <w:rsid w:val="00E06083"/>
    <w:rsid w:val="00E1163F"/>
    <w:rsid w:val="00E20403"/>
    <w:rsid w:val="00E31FE7"/>
    <w:rsid w:val="00E40F82"/>
    <w:rsid w:val="00E42888"/>
    <w:rsid w:val="00E43EFC"/>
    <w:rsid w:val="00E523FE"/>
    <w:rsid w:val="00E5419B"/>
    <w:rsid w:val="00E550D5"/>
    <w:rsid w:val="00E6253D"/>
    <w:rsid w:val="00E64F41"/>
    <w:rsid w:val="00E675E8"/>
    <w:rsid w:val="00E85185"/>
    <w:rsid w:val="00E9032A"/>
    <w:rsid w:val="00E91322"/>
    <w:rsid w:val="00EA1D05"/>
    <w:rsid w:val="00EB2BAF"/>
    <w:rsid w:val="00EC36F2"/>
    <w:rsid w:val="00ED18F4"/>
    <w:rsid w:val="00ED528C"/>
    <w:rsid w:val="00ED741C"/>
    <w:rsid w:val="00EE01A8"/>
    <w:rsid w:val="00EE4A0F"/>
    <w:rsid w:val="00EE587D"/>
    <w:rsid w:val="00EF02FE"/>
    <w:rsid w:val="00EF266E"/>
    <w:rsid w:val="00EF3B6A"/>
    <w:rsid w:val="00EF52F4"/>
    <w:rsid w:val="00F01412"/>
    <w:rsid w:val="00F13D2B"/>
    <w:rsid w:val="00F17771"/>
    <w:rsid w:val="00F27579"/>
    <w:rsid w:val="00F33396"/>
    <w:rsid w:val="00F354E0"/>
    <w:rsid w:val="00F37B95"/>
    <w:rsid w:val="00F37FCE"/>
    <w:rsid w:val="00F43ADB"/>
    <w:rsid w:val="00F4471E"/>
    <w:rsid w:val="00F64791"/>
    <w:rsid w:val="00F71933"/>
    <w:rsid w:val="00F81EEA"/>
    <w:rsid w:val="00F9208A"/>
    <w:rsid w:val="00F9518A"/>
    <w:rsid w:val="00FB53C0"/>
    <w:rsid w:val="00FC2443"/>
    <w:rsid w:val="00FC414E"/>
    <w:rsid w:val="00FD1494"/>
    <w:rsid w:val="00FD7FBF"/>
    <w:rsid w:val="00FE3045"/>
    <w:rsid w:val="00FF0555"/>
    <w:rsid w:val="00FF3172"/>
    <w:rsid w:val="00FF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E4912D"/>
  <w15:docId w15:val="{0179B276-4363-4DE4-BD11-DEE9EB76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4C34"/>
    <w:pPr>
      <w:spacing w:after="0" w:line="240" w:lineRule="auto"/>
    </w:pPr>
    <w:rPr>
      <w:rFonts w:ascii="Cambria" w:eastAsia="Cambria" w:hAnsi="Cambr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C34"/>
    <w:pPr>
      <w:tabs>
        <w:tab w:val="center" w:pos="4680"/>
        <w:tab w:val="right" w:pos="9360"/>
      </w:tabs>
    </w:pPr>
  </w:style>
  <w:style w:type="character" w:customStyle="1" w:styleId="HeaderChar">
    <w:name w:val="Header Char"/>
    <w:basedOn w:val="DefaultParagraphFont"/>
    <w:link w:val="Header"/>
    <w:uiPriority w:val="99"/>
    <w:rsid w:val="00334C34"/>
  </w:style>
  <w:style w:type="paragraph" w:styleId="Footer">
    <w:name w:val="footer"/>
    <w:basedOn w:val="Normal"/>
    <w:link w:val="FooterChar"/>
    <w:uiPriority w:val="99"/>
    <w:unhideWhenUsed/>
    <w:rsid w:val="00334C34"/>
    <w:pPr>
      <w:tabs>
        <w:tab w:val="center" w:pos="4680"/>
        <w:tab w:val="right" w:pos="9360"/>
      </w:tabs>
    </w:pPr>
  </w:style>
  <w:style w:type="character" w:customStyle="1" w:styleId="FooterChar">
    <w:name w:val="Footer Char"/>
    <w:basedOn w:val="DefaultParagraphFont"/>
    <w:link w:val="Footer"/>
    <w:uiPriority w:val="99"/>
    <w:rsid w:val="00334C34"/>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334C34"/>
    <w:pPr>
      <w:spacing w:after="240"/>
      <w:ind w:firstLine="720"/>
    </w:pPr>
    <w:rPr>
      <w:rFonts w:ascii="Garamond" w:hAnsi="Garamond"/>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basedOn w:val="DefaultParagraphFont"/>
    <w:link w:val="FootnoteText"/>
    <w:uiPriority w:val="99"/>
    <w:rsid w:val="00334C34"/>
    <w:rPr>
      <w:rFonts w:ascii="Garamond" w:eastAsia="Cambria" w:hAnsi="Garamond" w:cs="Times New Roman"/>
      <w:sz w:val="24"/>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334C34"/>
    <w:rPr>
      <w:vertAlign w:val="superscript"/>
    </w:rPr>
  </w:style>
  <w:style w:type="paragraph" w:styleId="ListParagraph">
    <w:name w:val="List Paragraph"/>
    <w:basedOn w:val="Normal"/>
    <w:uiPriority w:val="34"/>
    <w:qFormat/>
    <w:rsid w:val="00834739"/>
    <w:pPr>
      <w:ind w:left="720"/>
      <w:contextualSpacing/>
    </w:pPr>
  </w:style>
  <w:style w:type="paragraph" w:styleId="BalloonText">
    <w:name w:val="Balloon Text"/>
    <w:basedOn w:val="Normal"/>
    <w:link w:val="BalloonTextChar"/>
    <w:uiPriority w:val="99"/>
    <w:semiHidden/>
    <w:unhideWhenUsed/>
    <w:rsid w:val="0061514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15140"/>
    <w:rPr>
      <w:rFonts w:ascii="Segoe UI" w:hAnsi="Segoe UI" w:cs="Segoe UI"/>
      <w:sz w:val="18"/>
      <w:szCs w:val="18"/>
    </w:rPr>
  </w:style>
  <w:style w:type="character" w:styleId="CommentReference">
    <w:name w:val="annotation reference"/>
    <w:basedOn w:val="DefaultParagraphFont"/>
    <w:uiPriority w:val="99"/>
    <w:semiHidden/>
    <w:unhideWhenUsed/>
    <w:rsid w:val="002B6C66"/>
    <w:rPr>
      <w:sz w:val="16"/>
      <w:szCs w:val="16"/>
    </w:rPr>
  </w:style>
  <w:style w:type="paragraph" w:styleId="CommentText">
    <w:name w:val="annotation text"/>
    <w:basedOn w:val="Normal"/>
    <w:link w:val="CommentTextChar"/>
    <w:uiPriority w:val="99"/>
    <w:unhideWhenUsed/>
    <w:rsid w:val="002B6C66"/>
    <w:rPr>
      <w:sz w:val="20"/>
    </w:rPr>
  </w:style>
  <w:style w:type="character" w:customStyle="1" w:styleId="CommentTextChar">
    <w:name w:val="Comment Text Char"/>
    <w:basedOn w:val="DefaultParagraphFont"/>
    <w:link w:val="CommentText"/>
    <w:uiPriority w:val="99"/>
    <w:rsid w:val="002B6C66"/>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B6C66"/>
    <w:rPr>
      <w:b/>
      <w:bCs/>
    </w:rPr>
  </w:style>
  <w:style w:type="character" w:customStyle="1" w:styleId="CommentSubjectChar">
    <w:name w:val="Comment Subject Char"/>
    <w:basedOn w:val="CommentTextChar"/>
    <w:link w:val="CommentSubject"/>
    <w:uiPriority w:val="99"/>
    <w:semiHidden/>
    <w:rsid w:val="002B6C66"/>
    <w:rPr>
      <w:rFonts w:ascii="Cambria" w:eastAsia="Cambria" w:hAnsi="Cambria" w:cs="Times New Roman"/>
      <w:b/>
      <w:bCs/>
      <w:sz w:val="20"/>
      <w:szCs w:val="20"/>
    </w:rPr>
  </w:style>
  <w:style w:type="table" w:styleId="TableGrid">
    <w:name w:val="Table Grid"/>
    <w:basedOn w:val="TableNormal"/>
    <w:uiPriority w:val="39"/>
    <w:rsid w:val="004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8592">
      <w:bodyDiv w:val="1"/>
      <w:marLeft w:val="0"/>
      <w:marRight w:val="0"/>
      <w:marTop w:val="0"/>
      <w:marBottom w:val="0"/>
      <w:divBdr>
        <w:top w:val="none" w:sz="0" w:space="0" w:color="auto"/>
        <w:left w:val="none" w:sz="0" w:space="0" w:color="auto"/>
        <w:bottom w:val="none" w:sz="0" w:space="0" w:color="auto"/>
        <w:right w:val="none" w:sz="0" w:space="0" w:color="auto"/>
      </w:divBdr>
    </w:div>
    <w:div w:id="1340697950">
      <w:bodyDiv w:val="1"/>
      <w:marLeft w:val="0"/>
      <w:marRight w:val="0"/>
      <w:marTop w:val="0"/>
      <w:marBottom w:val="0"/>
      <w:divBdr>
        <w:top w:val="none" w:sz="0" w:space="0" w:color="auto"/>
        <w:left w:val="none" w:sz="0" w:space="0" w:color="auto"/>
        <w:bottom w:val="none" w:sz="0" w:space="0" w:color="auto"/>
        <w:right w:val="none" w:sz="0" w:space="0" w:color="auto"/>
      </w:divBdr>
    </w:div>
    <w:div w:id="15383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6B2D-A2CD-41E7-9B5B-DB5830E6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Intercontinental Exchange</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Nordhoff, Kimberly</dc:creator>
  <cp:lastModifiedBy>Torphy, Laura</cp:lastModifiedBy>
  <cp:revision>5</cp:revision>
  <cp:lastPrinted>2017-08-18T19:55:00Z</cp:lastPrinted>
  <dcterms:created xsi:type="dcterms:W3CDTF">2017-08-21T23:56:00Z</dcterms:created>
  <dcterms:modified xsi:type="dcterms:W3CDTF">2017-08-22T03:27:00Z</dcterms:modified>
</cp:coreProperties>
</file>