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F1" w:rsidRPr="00D374AB" w:rsidRDefault="00BD45F1" w:rsidP="00D37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AB" w:rsidRPr="00D374AB" w:rsidRDefault="00D374AB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4AB">
        <w:rPr>
          <w:rFonts w:ascii="Times New Roman" w:hAnsi="Times New Roman" w:cs="Times New Roman"/>
          <w:sz w:val="24"/>
          <w:szCs w:val="24"/>
        </w:rPr>
        <w:tab/>
      </w:r>
    </w:p>
    <w:p w:rsidR="00D374AB" w:rsidRDefault="00D374AB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January 13, 2015</w:t>
      </w:r>
    </w:p>
    <w:p w:rsidR="00D374AB" w:rsidRDefault="00D374AB" w:rsidP="00D37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AB" w:rsidRDefault="00D374AB" w:rsidP="00D37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AB" w:rsidRDefault="009F1396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Christopher J. Kirkpatrick</w:t>
      </w:r>
    </w:p>
    <w:p w:rsidR="009F1396" w:rsidRDefault="009F1396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:rsidR="009F1396" w:rsidRDefault="009F1396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Commodity Futures Trading Commission</w:t>
      </w:r>
    </w:p>
    <w:p w:rsidR="009F1396" w:rsidRDefault="009F1396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1155 21</w:t>
      </w:r>
      <w:r w:rsidRPr="009F139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Street, N.W.</w:t>
      </w:r>
    </w:p>
    <w:p w:rsidR="009F1396" w:rsidRDefault="009F1396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20581</w:t>
      </w:r>
    </w:p>
    <w:p w:rsidR="009F1396" w:rsidRDefault="009F1396" w:rsidP="00D37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396" w:rsidRDefault="009F1396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Re:  </w:t>
      </w:r>
      <w:r>
        <w:rPr>
          <w:rFonts w:ascii="Times New Roman" w:hAnsi="Times New Roman" w:cs="Times New Roman"/>
          <w:sz w:val="24"/>
          <w:szCs w:val="24"/>
        </w:rPr>
        <w:tab/>
        <w:t>Residual Interest Deadline for Futures Commission Merchants</w:t>
      </w:r>
    </w:p>
    <w:p w:rsidR="009F1396" w:rsidRDefault="009F1396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RIN 3038-AE22, 79 Federal Register 68148, November 14, 2014</w:t>
      </w:r>
    </w:p>
    <w:p w:rsidR="009F1396" w:rsidRDefault="009F1396" w:rsidP="00D37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396" w:rsidRDefault="009F1396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Kirkpatrick:</w:t>
      </w:r>
    </w:p>
    <w:p w:rsidR="009F1396" w:rsidRDefault="009F1396" w:rsidP="00D37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396" w:rsidRDefault="009F1396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undersigned organizations represent a very broad swath of agricultural futures market participants, including crop and livestock producers who use futures directly to manage their risk; agribusiness firms who rely on future markets as they assist producers with risk management plans and in their own risk management programs; and lenders that support the industry’s risk management solutions.  Our organizations unanimously favor prudent action by the Commission, exchanges and other regulators to enhance futures customer protection without placing undue </w:t>
      </w:r>
      <w:r w:rsidR="00A97C6E">
        <w:rPr>
          <w:rFonts w:ascii="Times New Roman" w:hAnsi="Times New Roman" w:cs="Times New Roman"/>
          <w:sz w:val="24"/>
          <w:szCs w:val="24"/>
        </w:rPr>
        <w:t xml:space="preserve">operational and </w:t>
      </w:r>
      <w:r>
        <w:rPr>
          <w:rFonts w:ascii="Times New Roman" w:hAnsi="Times New Roman" w:cs="Times New Roman"/>
          <w:sz w:val="24"/>
          <w:szCs w:val="24"/>
        </w:rPr>
        <w:t xml:space="preserve">financial burdens on those same customers. </w:t>
      </w:r>
    </w:p>
    <w:p w:rsidR="009F1396" w:rsidRDefault="009F1396" w:rsidP="00D37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396" w:rsidRDefault="009F1396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support very strongly the Commission’s proposal to revise the time at which futures commission merchants (FCMs) perform their residual interest calculation to remain at 6:00 p.m. the day following a futures trade</w:t>
      </w:r>
      <w:r w:rsidR="00A97C6E">
        <w:rPr>
          <w:rFonts w:ascii="Times New Roman" w:hAnsi="Times New Roman" w:cs="Times New Roman"/>
          <w:sz w:val="24"/>
          <w:szCs w:val="24"/>
        </w:rPr>
        <w:t xml:space="preserve"> (known as T+1).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5CA9">
        <w:rPr>
          <w:rFonts w:ascii="Times New Roman" w:hAnsi="Times New Roman" w:cs="Times New Roman"/>
          <w:sz w:val="24"/>
          <w:szCs w:val="24"/>
        </w:rPr>
        <w:t xml:space="preserve">This </w:t>
      </w:r>
      <w:r w:rsidR="00A97C6E">
        <w:rPr>
          <w:rFonts w:ascii="Times New Roman" w:hAnsi="Times New Roman" w:cs="Times New Roman"/>
          <w:sz w:val="24"/>
          <w:szCs w:val="24"/>
        </w:rPr>
        <w:t xml:space="preserve">proposed </w:t>
      </w:r>
      <w:r w:rsidR="00F95CA9">
        <w:rPr>
          <w:rFonts w:ascii="Times New Roman" w:hAnsi="Times New Roman" w:cs="Times New Roman"/>
          <w:sz w:val="24"/>
          <w:szCs w:val="24"/>
        </w:rPr>
        <w:t>change</w:t>
      </w:r>
      <w:r w:rsidR="00A97C6E">
        <w:rPr>
          <w:rFonts w:ascii="Times New Roman" w:hAnsi="Times New Roman" w:cs="Times New Roman"/>
          <w:sz w:val="24"/>
          <w:szCs w:val="24"/>
        </w:rPr>
        <w:t>,</w:t>
      </w:r>
      <w:r w:rsidR="00F95CA9">
        <w:rPr>
          <w:rFonts w:ascii="Times New Roman" w:hAnsi="Times New Roman" w:cs="Times New Roman"/>
          <w:sz w:val="24"/>
          <w:szCs w:val="24"/>
        </w:rPr>
        <w:t xml:space="preserve"> rather than an eventual move of the residual interest time to the morning of </w:t>
      </w:r>
      <w:r w:rsidR="007F7749">
        <w:rPr>
          <w:rFonts w:ascii="Times New Roman" w:hAnsi="Times New Roman" w:cs="Times New Roman"/>
          <w:sz w:val="24"/>
          <w:szCs w:val="24"/>
        </w:rPr>
        <w:t xml:space="preserve">T+1 as currently scheduled to occur at the end of 2018, </w:t>
      </w:r>
      <w:r w:rsidR="00F95CA9">
        <w:rPr>
          <w:rFonts w:ascii="Times New Roman" w:hAnsi="Times New Roman" w:cs="Times New Roman"/>
          <w:sz w:val="24"/>
          <w:szCs w:val="24"/>
        </w:rPr>
        <w:t>strikes an appropriate balance between customer protection and recognizing the burdens that the earlier calculation time would place on customers.</w:t>
      </w:r>
      <w:r w:rsidR="00A97C6E">
        <w:rPr>
          <w:rFonts w:ascii="Times New Roman" w:hAnsi="Times New Roman" w:cs="Times New Roman"/>
          <w:sz w:val="24"/>
          <w:szCs w:val="24"/>
        </w:rPr>
        <w:t xml:space="preserve">  Further, we support keeping the calculation time at 6:00 p.m. on T+1 unless additional Commission action is taken </w:t>
      </w:r>
      <w:r w:rsidR="007F7749">
        <w:rPr>
          <w:rFonts w:ascii="Times New Roman" w:hAnsi="Times New Roman" w:cs="Times New Roman"/>
          <w:sz w:val="24"/>
          <w:szCs w:val="24"/>
        </w:rPr>
        <w:t xml:space="preserve">in the future to change that time </w:t>
      </w:r>
      <w:r w:rsidR="00A97C6E">
        <w:rPr>
          <w:rFonts w:ascii="Times New Roman" w:hAnsi="Times New Roman" w:cs="Times New Roman"/>
          <w:sz w:val="24"/>
          <w:szCs w:val="24"/>
        </w:rPr>
        <w:t xml:space="preserve">through formal rulemaking </w:t>
      </w:r>
      <w:r w:rsidR="007F7749">
        <w:rPr>
          <w:rFonts w:ascii="Times New Roman" w:hAnsi="Times New Roman" w:cs="Times New Roman"/>
          <w:sz w:val="24"/>
          <w:szCs w:val="24"/>
        </w:rPr>
        <w:t>that includes input from the agricultural sector</w:t>
      </w:r>
      <w:r w:rsidR="00A97C6E">
        <w:rPr>
          <w:rFonts w:ascii="Times New Roman" w:hAnsi="Times New Roman" w:cs="Times New Roman"/>
          <w:sz w:val="24"/>
          <w:szCs w:val="24"/>
        </w:rPr>
        <w:t>.</w:t>
      </w:r>
    </w:p>
    <w:p w:rsidR="00F95CA9" w:rsidRDefault="00F95CA9" w:rsidP="00D37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749" w:rsidRDefault="00F95CA9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deep concern </w:t>
      </w:r>
      <w:r w:rsidR="00A97C6E">
        <w:rPr>
          <w:rFonts w:ascii="Times New Roman" w:hAnsi="Times New Roman" w:cs="Times New Roman"/>
          <w:sz w:val="24"/>
          <w:szCs w:val="24"/>
        </w:rPr>
        <w:t xml:space="preserve">with the current residual interest rule </w:t>
      </w:r>
      <w:r>
        <w:rPr>
          <w:rFonts w:ascii="Times New Roman" w:hAnsi="Times New Roman" w:cs="Times New Roman"/>
          <w:sz w:val="24"/>
          <w:szCs w:val="24"/>
        </w:rPr>
        <w:t xml:space="preserve">is that the earlier time would compel FCMs to require pre-margining of hedge accounts by their customers.  That has been confirmed through consultation with the FCMs who are so important to risk management in the agricultural sector.  Pre-margining would tie up customer capital unnecessarily, thereby preventing farmers, ranchers and agribusinesses from investing in their businesses and hiring additional personnel.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Pre-margining also would place additional customer funds – perhaps twice as much – at risk in the event of </w:t>
      </w:r>
      <w:proofErr w:type="gramStart"/>
      <w:r>
        <w:rPr>
          <w:rFonts w:ascii="Times New Roman" w:hAnsi="Times New Roman" w:cs="Times New Roman"/>
          <w:sz w:val="24"/>
          <w:szCs w:val="24"/>
        </w:rPr>
        <w:t>another FCM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insolvency in anticipation of market moves that may never occur.  </w:t>
      </w:r>
    </w:p>
    <w:p w:rsidR="007F7749" w:rsidRDefault="007F7749" w:rsidP="00D37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CA9" w:rsidRDefault="007F7749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noted at the recent meeting of the CFTC Agricultural Advisory Committee, t</w:t>
      </w:r>
      <w:r w:rsidR="00F95CA9">
        <w:rPr>
          <w:rFonts w:ascii="Times New Roman" w:hAnsi="Times New Roman" w:cs="Times New Roman"/>
          <w:sz w:val="24"/>
          <w:szCs w:val="24"/>
        </w:rPr>
        <w:t xml:space="preserve">hese results would force some participants out of futures markets, exactly opposite the desired result as a </w:t>
      </w:r>
      <w:r>
        <w:rPr>
          <w:rFonts w:ascii="Times New Roman" w:hAnsi="Times New Roman" w:cs="Times New Roman"/>
          <w:sz w:val="24"/>
          <w:szCs w:val="24"/>
        </w:rPr>
        <w:t xml:space="preserve">range </w:t>
      </w:r>
      <w:r w:rsidR="00F95CA9">
        <w:rPr>
          <w:rFonts w:ascii="Times New Roman" w:hAnsi="Times New Roman" w:cs="Times New Roman"/>
          <w:sz w:val="24"/>
          <w:szCs w:val="24"/>
        </w:rPr>
        <w:t>of risk management alternatives are increasingly important in U.S. agriculture today.</w:t>
      </w:r>
    </w:p>
    <w:p w:rsidR="007F7749" w:rsidRDefault="007F7749" w:rsidP="00D37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749" w:rsidRDefault="007F7749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7F7749" w:rsidRDefault="007F7749" w:rsidP="00D37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D0B" w:rsidRDefault="00653D0B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Cotton Shippers Association</w:t>
      </w:r>
    </w:p>
    <w:p w:rsidR="00E22E50" w:rsidRDefault="00E22E50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Soybean Association</w:t>
      </w:r>
    </w:p>
    <w:p w:rsidR="007F7749" w:rsidRDefault="005C14DA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Feed Industry Association</w:t>
      </w:r>
    </w:p>
    <w:p w:rsidR="00E22E50" w:rsidRDefault="00E22E50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Commodity Markets Council</w:t>
      </w:r>
    </w:p>
    <w:p w:rsidR="002A2E68" w:rsidRDefault="002A2E68" w:rsidP="002A2E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E68">
        <w:rPr>
          <w:rFonts w:ascii="Times New Roman" w:hAnsi="Times New Roman" w:cs="Times New Roman"/>
          <w:sz w:val="24"/>
          <w:szCs w:val="24"/>
        </w:rPr>
        <w:t>National Barley Growers Association</w:t>
      </w:r>
    </w:p>
    <w:p w:rsidR="00E22E50" w:rsidRPr="002A2E68" w:rsidRDefault="00E22E50" w:rsidP="002A2E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Corn Growers Association</w:t>
      </w:r>
    </w:p>
    <w:p w:rsidR="00653D0B" w:rsidRDefault="00653D0B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Council of Farmer Cooperatives</w:t>
      </w:r>
    </w:p>
    <w:p w:rsidR="005C14DA" w:rsidRDefault="005C14DA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Grain and Feed Association</w:t>
      </w:r>
    </w:p>
    <w:p w:rsidR="00E22E50" w:rsidRDefault="00E22E50" w:rsidP="00D37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Pork Producers Council</w:t>
      </w:r>
      <w:bookmarkStart w:id="0" w:name="_GoBack"/>
      <w:bookmarkEnd w:id="0"/>
    </w:p>
    <w:p w:rsidR="002A2E68" w:rsidRDefault="002A2E68" w:rsidP="002A2E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E68">
        <w:rPr>
          <w:rFonts w:ascii="Times New Roman" w:hAnsi="Times New Roman" w:cs="Times New Roman"/>
          <w:sz w:val="24"/>
          <w:szCs w:val="24"/>
        </w:rPr>
        <w:t>National Sunflower Association</w:t>
      </w:r>
    </w:p>
    <w:p w:rsidR="00E22E50" w:rsidRPr="002A2E68" w:rsidRDefault="00E22E50" w:rsidP="002A2E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American Export Grain Association</w:t>
      </w:r>
    </w:p>
    <w:p w:rsidR="00E22E50" w:rsidRDefault="00E22E50" w:rsidP="002A2E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 Rice Federation</w:t>
      </w:r>
    </w:p>
    <w:p w:rsidR="002A2E68" w:rsidRPr="002A2E68" w:rsidRDefault="002A2E68" w:rsidP="002A2E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E68">
        <w:rPr>
          <w:rFonts w:ascii="Times New Roman" w:hAnsi="Times New Roman" w:cs="Times New Roman"/>
          <w:sz w:val="24"/>
          <w:szCs w:val="24"/>
        </w:rPr>
        <w:t>US Canola Association</w:t>
      </w:r>
    </w:p>
    <w:p w:rsidR="002A2E68" w:rsidRPr="002A2E68" w:rsidRDefault="002A2E68" w:rsidP="002A2E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E68">
        <w:rPr>
          <w:rFonts w:ascii="Times New Roman" w:hAnsi="Times New Roman" w:cs="Times New Roman"/>
          <w:sz w:val="24"/>
          <w:szCs w:val="24"/>
        </w:rPr>
        <w:t>US Dry Bean Council</w:t>
      </w:r>
    </w:p>
    <w:p w:rsidR="005C14DA" w:rsidRDefault="005C14DA" w:rsidP="00D37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CA9" w:rsidRDefault="00F95CA9" w:rsidP="00D37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CA9" w:rsidRDefault="00F95CA9" w:rsidP="00D37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CA9" w:rsidRDefault="00F95CA9" w:rsidP="00D37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CA9" w:rsidRPr="00D374AB" w:rsidRDefault="00F95CA9" w:rsidP="00D374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5CA9" w:rsidRPr="00D37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AB"/>
    <w:rsid w:val="002A2E68"/>
    <w:rsid w:val="005C14DA"/>
    <w:rsid w:val="00653D0B"/>
    <w:rsid w:val="007F7749"/>
    <w:rsid w:val="009F1396"/>
    <w:rsid w:val="00A97C6E"/>
    <w:rsid w:val="00BD45F1"/>
    <w:rsid w:val="00D374AB"/>
    <w:rsid w:val="00E22E50"/>
    <w:rsid w:val="00F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</dc:creator>
  <cp:lastModifiedBy>reed</cp:lastModifiedBy>
  <cp:revision>6</cp:revision>
  <dcterms:created xsi:type="dcterms:W3CDTF">2015-01-09T16:06:00Z</dcterms:created>
  <dcterms:modified xsi:type="dcterms:W3CDTF">2015-01-13T19:12:00Z</dcterms:modified>
</cp:coreProperties>
</file>